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41D5" w14:textId="3A5910A1" w:rsidR="00BE1F92" w:rsidRDefault="00422B10" w:rsidP="00FC4262">
      <w:pPr>
        <w:pStyle w:val="1"/>
      </w:pPr>
      <w:r>
        <w:fldChar w:fldCharType="begin"/>
      </w:r>
      <w:r>
        <w:instrText xml:space="preserve"> MACROBUTTON MTEditEquationSection2 </w:instrText>
      </w:r>
      <w:r w:rsidRPr="00422B10">
        <w:rPr>
          <w:rStyle w:val="MTEquationSection"/>
          <w:rFonts w:hint="eastAsia"/>
        </w:rPr>
        <w:instrText>公式章</w:instrText>
      </w:r>
      <w:r w:rsidRPr="00422B10">
        <w:rPr>
          <w:rStyle w:val="MTEquationSection"/>
          <w:rFonts w:hint="eastAsia"/>
        </w:rPr>
        <w:instrText xml:space="preserve"> 1 </w:instrText>
      </w:r>
      <w:r w:rsidRPr="00422B10">
        <w:rPr>
          <w:rStyle w:val="MTEquationSection"/>
          <w:rFonts w:hint="eastAsia"/>
        </w:rPr>
        <w:instrText>节</w:instrText>
      </w:r>
      <w:r w:rsidRPr="00422B10">
        <w:rPr>
          <w:rStyle w:val="MTEquationSection"/>
          <w:rFonts w:hint="eastAsia"/>
        </w:rPr>
        <w:instrText xml:space="preserve"> 1</w:instrText>
      </w:r>
      <w:r>
        <w:fldChar w:fldCharType="begin"/>
      </w:r>
      <w:r>
        <w:instrText xml:space="preserve"> </w:instrText>
      </w:r>
      <w:r>
        <w:rPr>
          <w:rFonts w:hint="eastAsia"/>
        </w:rPr>
        <w:instrText>SEQ MTEqn \r \h \* MERGEFORMAT</w:instrText>
      </w:r>
      <w:r>
        <w:instrText xml:space="preserve">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FC4262" w:rsidRPr="00FC4262">
        <w:t>Dynamic Monitoring Study of Vegetation Restoration Effects Around Power Facilities in Different Seasons</w:t>
      </w:r>
    </w:p>
    <w:p w14:paraId="6F805F01" w14:textId="77777777" w:rsidR="00E52C40" w:rsidRDefault="00E52C40" w:rsidP="00EE789E">
      <w:pPr>
        <w:jc w:val="center"/>
      </w:pPr>
    </w:p>
    <w:p w14:paraId="15B18F0B" w14:textId="2D897144" w:rsidR="00E52C40" w:rsidRPr="00E52C40" w:rsidRDefault="00E52C40" w:rsidP="00EE789E">
      <w:pPr>
        <w:jc w:val="center"/>
        <w:rPr>
          <w:rFonts w:hint="eastAsia"/>
          <w:vertAlign w:val="superscript"/>
        </w:rPr>
      </w:pPr>
      <w:r w:rsidRPr="00E52C40">
        <w:t>LEI WANG</w:t>
      </w:r>
      <w:proofErr w:type="gramStart"/>
      <w:r>
        <w:rPr>
          <w:rFonts w:hint="eastAsia"/>
          <w:vertAlign w:val="superscript"/>
        </w:rPr>
        <w:t>1,*</w:t>
      </w:r>
      <w:proofErr w:type="gramEnd"/>
      <w:r>
        <w:rPr>
          <w:rFonts w:hint="eastAsia"/>
        </w:rPr>
        <w:t xml:space="preserve">, </w:t>
      </w:r>
      <w:r w:rsidRPr="00E52C40">
        <w:t>WEI YAN</w:t>
      </w:r>
      <w:r>
        <w:rPr>
          <w:rFonts w:hint="eastAsia"/>
          <w:vertAlign w:val="superscript"/>
        </w:rPr>
        <w:t>2</w:t>
      </w:r>
      <w:r>
        <w:rPr>
          <w:rFonts w:hint="eastAsia"/>
        </w:rPr>
        <w:t xml:space="preserve">, </w:t>
      </w:r>
      <w:r w:rsidRPr="00E52C40">
        <w:t>KUN SONG</w:t>
      </w:r>
      <w:r>
        <w:rPr>
          <w:rFonts w:hint="eastAsia"/>
          <w:vertAlign w:val="superscript"/>
        </w:rPr>
        <w:t>1</w:t>
      </w:r>
      <w:r>
        <w:rPr>
          <w:rFonts w:hint="eastAsia"/>
        </w:rPr>
        <w:t xml:space="preserve">, </w:t>
      </w:r>
      <w:r w:rsidRPr="00E52C40">
        <w:t>XIAO-LIN WU</w:t>
      </w:r>
      <w:r>
        <w:rPr>
          <w:rFonts w:hint="eastAsia"/>
          <w:vertAlign w:val="superscript"/>
        </w:rPr>
        <w:t>1</w:t>
      </w:r>
      <w:r>
        <w:rPr>
          <w:rFonts w:hint="eastAsia"/>
        </w:rPr>
        <w:t xml:space="preserve">, </w:t>
      </w:r>
      <w:r w:rsidRPr="00E52C40">
        <w:t>ZHI-YONG XU</w:t>
      </w:r>
      <w:r>
        <w:rPr>
          <w:rFonts w:hint="eastAsia"/>
          <w:vertAlign w:val="superscript"/>
        </w:rPr>
        <w:t>1</w:t>
      </w:r>
    </w:p>
    <w:p w14:paraId="1F58F7D3" w14:textId="3656C876" w:rsidR="00E52C40" w:rsidRDefault="00E52C40" w:rsidP="00EE789E">
      <w:pPr>
        <w:jc w:val="center"/>
      </w:pPr>
      <w:r>
        <w:rPr>
          <w:rFonts w:hint="eastAsia"/>
        </w:rPr>
        <w:t xml:space="preserve">1, </w:t>
      </w:r>
      <w:r w:rsidRPr="00E52C40">
        <w:t>State Grid Liaoning Electric Power Company Limited</w:t>
      </w:r>
      <w:r>
        <w:rPr>
          <w:rFonts w:hint="eastAsia"/>
        </w:rPr>
        <w:t>.</w:t>
      </w:r>
    </w:p>
    <w:p w14:paraId="70574BA4" w14:textId="5337EF73" w:rsidR="00E52C40" w:rsidRDefault="00E52C40" w:rsidP="00EE789E">
      <w:pPr>
        <w:jc w:val="center"/>
      </w:pPr>
      <w:r>
        <w:rPr>
          <w:rFonts w:hint="eastAsia"/>
        </w:rPr>
        <w:t xml:space="preserve">2, </w:t>
      </w:r>
      <w:r w:rsidRPr="00E52C40">
        <w:rPr>
          <w:rFonts w:hint="eastAsia"/>
        </w:rPr>
        <w:t>Electric Power Construction Technical Economic Consulting Center of China Electricity Council</w:t>
      </w:r>
      <w:r w:rsidRPr="00E52C40">
        <w:rPr>
          <w:rFonts w:hint="eastAsia"/>
        </w:rPr>
        <w:t>，</w:t>
      </w:r>
      <w:r w:rsidRPr="00E52C40">
        <w:rPr>
          <w:rFonts w:hint="eastAsia"/>
        </w:rPr>
        <w:t>Beijing, 100076, China</w:t>
      </w:r>
      <w:r>
        <w:rPr>
          <w:rFonts w:hint="eastAsia"/>
        </w:rPr>
        <w:t>.</w:t>
      </w:r>
    </w:p>
    <w:p w14:paraId="5DFE390C" w14:textId="32570B82" w:rsidR="00E52C40" w:rsidRDefault="00E52C40" w:rsidP="00EE789E">
      <w:pPr>
        <w:jc w:val="center"/>
      </w:pPr>
      <w:hyperlink r:id="rId7" w:history="1">
        <w:r w:rsidRPr="003C0024">
          <w:rPr>
            <w:rStyle w:val="aa"/>
          </w:rPr>
          <w:t>wanglei@ln.sgcc.com.cn</w:t>
        </w:r>
      </w:hyperlink>
    </w:p>
    <w:p w14:paraId="194A80D6" w14:textId="77777777" w:rsidR="00E52C40" w:rsidRDefault="00E52C40" w:rsidP="00E52C40"/>
    <w:p w14:paraId="3FBDAF0A" w14:textId="6CB4ECC6" w:rsidR="00E52C40" w:rsidRDefault="00E52C40" w:rsidP="00E52C40">
      <w:r w:rsidRPr="00E52C40">
        <w:t>First author and corresponding author</w:t>
      </w:r>
      <w:r>
        <w:rPr>
          <w:rFonts w:hint="eastAsia"/>
        </w:rPr>
        <w:t xml:space="preserve">: </w:t>
      </w:r>
      <w:r w:rsidRPr="00E52C40">
        <w:t>LEI WANG</w:t>
      </w:r>
      <w:r>
        <w:rPr>
          <w:rFonts w:hint="eastAsia"/>
        </w:rPr>
        <w:t xml:space="preserve">, </w:t>
      </w:r>
      <w:hyperlink r:id="rId8" w:history="1">
        <w:r w:rsidRPr="003C0024">
          <w:rPr>
            <w:rStyle w:val="aa"/>
          </w:rPr>
          <w:t>wanglei@ln.sgcc.com.cn</w:t>
        </w:r>
      </w:hyperlink>
    </w:p>
    <w:p w14:paraId="03D1372F" w14:textId="3F442440" w:rsidR="00E52C40" w:rsidRDefault="00E52C40" w:rsidP="00E52C40">
      <w:r w:rsidRPr="00E52C40">
        <w:t>Second author</w:t>
      </w:r>
      <w:r>
        <w:rPr>
          <w:rFonts w:hint="eastAsia"/>
        </w:rPr>
        <w:t xml:space="preserve">: </w:t>
      </w:r>
      <w:r w:rsidRPr="00E52C40">
        <w:t>WEI YAN</w:t>
      </w:r>
      <w:r>
        <w:rPr>
          <w:rFonts w:hint="eastAsia"/>
        </w:rPr>
        <w:t xml:space="preserve">, </w:t>
      </w:r>
      <w:hyperlink r:id="rId9" w:history="1">
        <w:r w:rsidRPr="003C0024">
          <w:rPr>
            <w:rStyle w:val="aa"/>
          </w:rPr>
          <w:t>zdldlfzyjy@126.com</w:t>
        </w:r>
      </w:hyperlink>
    </w:p>
    <w:p w14:paraId="51312DA4" w14:textId="27537DC6" w:rsidR="00E52C40" w:rsidRDefault="00E52C40" w:rsidP="00E52C40">
      <w:r w:rsidRPr="00E52C40">
        <w:t>The third author</w:t>
      </w:r>
      <w:r>
        <w:rPr>
          <w:rFonts w:hint="eastAsia"/>
        </w:rPr>
        <w:t xml:space="preserve">: </w:t>
      </w:r>
      <w:r w:rsidRPr="00E52C40">
        <w:t>KUN SONG</w:t>
      </w:r>
      <w:r>
        <w:rPr>
          <w:rFonts w:hint="eastAsia"/>
        </w:rPr>
        <w:t xml:space="preserve">, </w:t>
      </w:r>
      <w:hyperlink r:id="rId10" w:history="1">
        <w:r w:rsidRPr="003C0024">
          <w:rPr>
            <w:rStyle w:val="aa"/>
          </w:rPr>
          <w:t>sk_jyy@ln.sgcc.com.cn</w:t>
        </w:r>
      </w:hyperlink>
    </w:p>
    <w:p w14:paraId="6C4CB4C6" w14:textId="766FB316" w:rsidR="00E52C40" w:rsidRDefault="00EE789E" w:rsidP="00E52C40">
      <w:r w:rsidRPr="00EE789E">
        <w:t>Fourth author</w:t>
      </w:r>
      <w:r>
        <w:rPr>
          <w:rFonts w:hint="eastAsia"/>
        </w:rPr>
        <w:t xml:space="preserve">: </w:t>
      </w:r>
      <w:r w:rsidRPr="00E52C40">
        <w:t>XIAO-LIN WU</w:t>
      </w:r>
      <w:r>
        <w:rPr>
          <w:rFonts w:hint="eastAsia"/>
        </w:rPr>
        <w:t xml:space="preserve">, </w:t>
      </w:r>
      <w:hyperlink r:id="rId11" w:history="1">
        <w:r w:rsidRPr="003C0024">
          <w:rPr>
            <w:rStyle w:val="aa"/>
          </w:rPr>
          <w:t>wxl@ln.sgcc.com.cn</w:t>
        </w:r>
      </w:hyperlink>
    </w:p>
    <w:p w14:paraId="6B00D759" w14:textId="362A86B6" w:rsidR="00EE789E" w:rsidRDefault="00EE789E" w:rsidP="00E52C40">
      <w:r w:rsidRPr="00EE789E">
        <w:t>Fifth author</w:t>
      </w:r>
      <w:r>
        <w:rPr>
          <w:rFonts w:hint="eastAsia"/>
        </w:rPr>
        <w:t xml:space="preserve">: </w:t>
      </w:r>
      <w:r w:rsidRPr="00E52C40">
        <w:t>ZHI-YONG XU</w:t>
      </w:r>
      <w:r>
        <w:rPr>
          <w:rFonts w:hint="eastAsia"/>
        </w:rPr>
        <w:t xml:space="preserve">, </w:t>
      </w:r>
      <w:hyperlink r:id="rId12" w:history="1">
        <w:r w:rsidRPr="003C0024">
          <w:rPr>
            <w:rStyle w:val="aa"/>
          </w:rPr>
          <w:t>xzy@ln.sgcc.com.cn</w:t>
        </w:r>
      </w:hyperlink>
    </w:p>
    <w:p w14:paraId="4D2E432E" w14:textId="77777777" w:rsidR="00EE789E" w:rsidRPr="00EE789E" w:rsidRDefault="00EE789E" w:rsidP="00E52C40">
      <w:pPr>
        <w:rPr>
          <w:rFonts w:hint="eastAsia"/>
        </w:rPr>
      </w:pPr>
    </w:p>
    <w:p w14:paraId="62509B10" w14:textId="1EABE62F" w:rsidR="00E52C40" w:rsidRPr="00EE789E" w:rsidRDefault="00EE789E" w:rsidP="00E52C40">
      <w:pPr>
        <w:rPr>
          <w:b/>
          <w:bCs/>
        </w:rPr>
      </w:pPr>
      <w:r w:rsidRPr="00EE789E">
        <w:rPr>
          <w:rFonts w:hint="eastAsia"/>
          <w:b/>
          <w:bCs/>
        </w:rPr>
        <w:t>Acknowledgement:</w:t>
      </w:r>
    </w:p>
    <w:p w14:paraId="29EC96ED" w14:textId="7466CC59" w:rsidR="00EE789E" w:rsidRPr="00EE789E" w:rsidRDefault="00EE789E" w:rsidP="00EE789E">
      <w:pPr>
        <w:rPr>
          <w:rFonts w:hint="eastAsia"/>
        </w:rPr>
      </w:pPr>
      <w:r w:rsidRPr="00EE789E">
        <w:t>Study on Optimization of the Accounting Method for Environmental Protection and Water-Soil Conservation Expenses in Power Transmission and Transformation Projects</w:t>
      </w:r>
      <w:r>
        <w:rPr>
          <w:rFonts w:hint="eastAsia"/>
        </w:rPr>
        <w:t>.</w:t>
      </w:r>
    </w:p>
    <w:p w14:paraId="54149D26" w14:textId="77777777" w:rsidR="00EE789E" w:rsidRPr="00E52C40" w:rsidRDefault="00EE789E" w:rsidP="00E52C40">
      <w:pPr>
        <w:rPr>
          <w:rFonts w:hint="eastAsia"/>
        </w:rPr>
      </w:pPr>
    </w:p>
    <w:p w14:paraId="722748EF" w14:textId="77777777" w:rsidR="006B0871" w:rsidRPr="006B0871" w:rsidRDefault="006B0871" w:rsidP="006B0871">
      <w:pPr>
        <w:pStyle w:val="2"/>
      </w:pPr>
      <w:r w:rsidRPr="006B0871">
        <w:t>Abstract</w:t>
      </w:r>
    </w:p>
    <w:p w14:paraId="6825E41F" w14:textId="77777777" w:rsidR="006B0871" w:rsidRPr="006B0871" w:rsidRDefault="006B0871" w:rsidP="006B0871">
      <w:r w:rsidRPr="006B0871">
        <w:t>Power facilities significantly impact surrounding ecosystems, necessitating comprehensive monitoring of vegetation restoration dynamics. This study developed an integrated multi-seasonal monitoring framework using Landsat-8 and Sentinel-2 imagery combined with ground surveys to quantify vegetation recovery patterns around the Datong Power Plant Complex in Shanxi Province, China. Results revealed distinct seasonal variations and spatial gradients in vegetation restoration, with spring and autumn providing optimal monitoring windows due to maximum phenological contrasts. Vegetation coverage increased from 42.3% within 5 km of facilities to 84.5% beyond 40 km, following a negative exponential decay pattern. Critical recovery thresholds emerged at 8.2 km for 50% restoration and 27 km for 90% recovery. Directional asymmetry driven by prevailing winds created elongated impact zones extending 18 km downwind. Soil organic matter content and integrated air quality indices served as the most robust restoration indicators. The monitoring system achieved 87.3% overall accuracy, establishing a transferable assessment framework for industrial ecosystem restoration. This approach reduces monitoring costs by 40% while providing quantitative metrics for adaptive management, addressing the urgent need for effective vegetation recovery strategies around energy infrastructure under changing climate conditions.</w:t>
      </w:r>
    </w:p>
    <w:p w14:paraId="555AFED0" w14:textId="7756626B" w:rsidR="006B0871" w:rsidRPr="006B0871" w:rsidRDefault="006B0871" w:rsidP="006B0871">
      <w:r w:rsidRPr="006B0871">
        <w:rPr>
          <w:b/>
          <w:bCs/>
        </w:rPr>
        <w:t>Keywords:</w:t>
      </w:r>
      <w:r w:rsidRPr="006B0871">
        <w:t xml:space="preserve"> vegetation restoration; power facilities; remote sensing; seasonal dynamics; spatial </w:t>
      </w:r>
      <w:r w:rsidRPr="006B0871">
        <w:lastRenderedPageBreak/>
        <w:t>gradient; environmental factors</w:t>
      </w:r>
    </w:p>
    <w:p w14:paraId="26A51213" w14:textId="5889003C" w:rsidR="00FC4262" w:rsidRDefault="00FC4262" w:rsidP="00FC4262">
      <w:pPr>
        <w:pStyle w:val="2"/>
      </w:pPr>
      <w:r w:rsidRPr="00FC4262">
        <w:t>1 Introduction</w:t>
      </w:r>
    </w:p>
    <w:p w14:paraId="1E32FCA6" w14:textId="53D7B781" w:rsidR="00ED75D1" w:rsidRDefault="00ED75D1" w:rsidP="00ED75D1">
      <w:r>
        <w:t>The global growth of energy infrastructure has developed as one of the most significant catalysts of environmental change in the 21st century, as power infrastructure leaves large ecological footprints that extend well beyond computer infrastructure</w:t>
      </w:r>
      <w:r w:rsidR="00ED56F0">
        <w:fldChar w:fldCharType="begin"/>
      </w:r>
      <w:r w:rsidR="00ED56F0">
        <w:instrText xml:space="preserve"> ADDIN EN.CITE &lt;EndNote&gt;&lt;Cite&gt;&lt;Author&gt;Li&lt;/Author&gt;&lt;Year&gt;2014&lt;/Year&gt;&lt;RecNum&gt;1&lt;/RecNum&gt;&lt;DisplayText&gt;[1]&lt;/DisplayText&gt;&lt;record&gt;&lt;rec-number&gt;1&lt;/rec-number&gt;&lt;foreign-keys&gt;&lt;key app="EN" db-id="zfr5etsptzafvkews50vf091przvpwxsvt0x" timestamp="1753088566"&gt;1&lt;/key&gt;&lt;/foreign-keys&gt;&lt;ref-type name="Journal Article"&gt;17&lt;/ref-type&gt;&lt;contributors&gt;&lt;authors&gt;&lt;author&gt;Li, Zhaoqin&lt;/author&gt;&lt;author&gt;Xu, Dandan&lt;/author&gt;&lt;author&gt;Guo, Xulin&lt;/author&gt;&lt;/authors&gt;&lt;/contributors&gt;&lt;titles&gt;&lt;title&gt;Remote sensing of ecosystem health: opportunities, challenges, and future perspectives&lt;/title&gt;&lt;secondary-title&gt;Sensors&lt;/secondary-title&gt;&lt;/titles&gt;&lt;periodical&gt;&lt;full-title&gt;Sensors&lt;/full-title&gt;&lt;/periodical&gt;&lt;pages&gt;21117-21139&lt;/pages&gt;&lt;volume&gt;14&lt;/volume&gt;&lt;number&gt;11&lt;/number&gt;&lt;dates&gt;&lt;year&gt;2014&lt;/year&gt;&lt;/dates&gt;&lt;isbn&gt;1424-8220&lt;/isbn&gt;&lt;urls&gt;&lt;/urls&gt;&lt;/record&gt;&lt;/Cite&gt;&lt;/EndNote&gt;</w:instrText>
      </w:r>
      <w:r w:rsidR="00ED56F0">
        <w:fldChar w:fldCharType="separate"/>
      </w:r>
      <w:r w:rsidR="00ED56F0">
        <w:rPr>
          <w:noProof/>
        </w:rPr>
        <w:t>[1]</w:t>
      </w:r>
      <w:r w:rsidR="00ED56F0">
        <w:fldChar w:fldCharType="end"/>
      </w:r>
      <w:r>
        <w:t>. Furthermore, it has been shown that power stations and related facilities can substantially change local microclimate, soil composition and native vegetation patterns, thus generating well-defined ecological areas of influence that endure for tens of years following the initial building of the plants</w:t>
      </w:r>
      <w:r w:rsidR="00ED56F0">
        <w:fldChar w:fldCharType="begin"/>
      </w:r>
      <w:r w:rsidR="00ED56F0">
        <w:instrText xml:space="preserve"> ADDIN EN.CITE &lt;EndNote&gt;&lt;Cite&gt;&lt;Author&gt;Nagarajan&lt;/Author&gt;&lt;Year&gt;2000&lt;/Year&gt;&lt;RecNum&gt;2&lt;/RecNum&gt;&lt;DisplayText&gt;[2]&lt;/DisplayText&gt;&lt;record&gt;&lt;rec-number&gt;2&lt;/rec-number&gt;&lt;foreign-keys&gt;&lt;key app="EN" db-id="zfr5etsptzafvkews50vf091przvpwxsvt0x" timestamp="1753088653"&gt;2&lt;/key&gt;&lt;/foreign-keys&gt;&lt;ref-type name="Journal Article"&gt;17&lt;/ref-type&gt;&lt;contributors&gt;&lt;authors&gt;&lt;author&gt;Nagarajan, R&lt;/author&gt;&lt;/authors&gt;&lt;/contributors&gt;&lt;titles&gt;&lt;title&gt;Environmental impact analysis of Dudhganga Dam in India-a multi-temporal remote sensing approach&lt;/title&gt;&lt;secondary-title&gt;International Journal of Remote Sensing&lt;/secondary-title&gt;&lt;/titles&gt;&lt;periodical&gt;&lt;full-title&gt;International Journal of Remote Sensing&lt;/full-title&gt;&lt;/periodical&gt;&lt;pages&gt;483-497&lt;/pages&gt;&lt;volume&gt;21&lt;/volume&gt;&lt;number&gt;3&lt;/number&gt;&lt;dates&gt;&lt;year&gt;2000&lt;/year&gt;&lt;/dates&gt;&lt;isbn&gt;0143-1161&lt;/isbn&gt;&lt;urls&gt;&lt;/urls&gt;&lt;/record&gt;&lt;/Cite&gt;&lt;/EndNote&gt;</w:instrText>
      </w:r>
      <w:r w:rsidR="00ED56F0">
        <w:fldChar w:fldCharType="separate"/>
      </w:r>
      <w:r w:rsidR="00ED56F0">
        <w:rPr>
          <w:noProof/>
        </w:rPr>
        <w:t>[2]</w:t>
      </w:r>
      <w:r w:rsidR="00ED56F0">
        <w:fldChar w:fldCharType="end"/>
      </w:r>
      <w:r>
        <w:t>. The environmental costs of electricity generation are not limited to emissions, affecting vegetation during construction, ongoing maintenance and long term impacts on ecosystem functions</w:t>
      </w:r>
      <w:r w:rsidR="00ED56F0">
        <w:fldChar w:fldCharType="begin"/>
      </w:r>
      <w:r w:rsidR="00ED56F0">
        <w:instrText xml:space="preserve"> ADDIN EN.CITE &lt;EndNote&gt;&lt;Cite&gt;&lt;Author&gt;Verbesselt&lt;/Author&gt;&lt;Year&gt;2012&lt;/Year&gt;&lt;RecNum&gt;3&lt;/RecNum&gt;&lt;DisplayText&gt;[3]&lt;/DisplayText&gt;&lt;record&gt;&lt;rec-number&gt;3&lt;/rec-number&gt;&lt;foreign-keys&gt;&lt;key app="EN" db-id="zfr5etsptzafvkews50vf091przvpwxsvt0x" timestamp="1753088679"&gt;3&lt;/key&gt;&lt;/foreign-keys&gt;&lt;ref-type name="Journal Article"&gt;17&lt;/ref-type&gt;&lt;contributors&gt;&lt;authors&gt;&lt;author&gt;Verbesselt, Jan&lt;/author&gt;&lt;author&gt;Zeileis, Achim&lt;/author&gt;&lt;author&gt;Herold, Martin&lt;/author&gt;&lt;/authors&gt;&lt;/contributors&gt;&lt;titles&gt;&lt;title&gt;Near real-time disturbance detection using satellite image time series&lt;/title&gt;&lt;secondary-title&gt;Remote Sensing of Environment&lt;/secondary-title&gt;&lt;/titles&gt;&lt;periodical&gt;&lt;full-title&gt;Remote Sensing of Environment&lt;/full-title&gt;&lt;/periodical&gt;&lt;pages&gt;98-108&lt;/pages&gt;&lt;volume&gt;123&lt;/volume&gt;&lt;dates&gt;&lt;year&gt;2012&lt;/year&gt;&lt;/dates&gt;&lt;isbn&gt;0034-4257&lt;/isbn&gt;&lt;urls&gt;&lt;/urls&gt;&lt;/record&gt;&lt;/Cite&gt;&lt;/EndNote&gt;</w:instrText>
      </w:r>
      <w:r w:rsidR="00ED56F0">
        <w:fldChar w:fldCharType="separate"/>
      </w:r>
      <w:r w:rsidR="00ED56F0">
        <w:rPr>
          <w:noProof/>
        </w:rPr>
        <w:t>[3]</w:t>
      </w:r>
      <w:r w:rsidR="00ED56F0">
        <w:fldChar w:fldCharType="end"/>
      </w:r>
      <w:r>
        <w:t>. Vegetation restoration for industrial sites is a key part of environmental restoration program, which plays a variety of ecological roles, such as carbon fixation, biodiversity conservation, and maintenance of ecosystem service</w:t>
      </w:r>
      <w:r w:rsidR="00ED56F0">
        <w:fldChar w:fldCharType="begin"/>
      </w:r>
      <w:r w:rsidR="00ED56F0">
        <w:instrText xml:space="preserve"> ADDIN EN.CITE &lt;EndNote&gt;&lt;Cite&gt;&lt;Author&gt;Zhu&lt;/Author&gt;&lt;Year&gt;2024&lt;/Year&gt;&lt;RecNum&gt;4&lt;/RecNum&gt;&lt;DisplayText&gt;[4]&lt;/DisplayText&gt;&lt;record&gt;&lt;rec-number&gt;4&lt;/rec-number&gt;&lt;foreign-keys&gt;&lt;key app="EN" db-id="zfr5etsptzafvkews50vf091przvpwxsvt0x" timestamp="1753088707"&gt;4&lt;/key&gt;&lt;/foreign-keys&gt;&lt;ref-type name="Journal Article"&gt;17&lt;/ref-type&gt;&lt;contributors&gt;&lt;authors&gt;&lt;author&gt;Zhu, Yanfeng&lt;/author&gt;&lt;author&gt;Wang, Liping&lt;/author&gt;&lt;author&gt;Ma, Jing&lt;/author&gt;&lt;author&gt;Hua, Ziyi&lt;/author&gt;&lt;author&gt;Yang, Yongjun&lt;/author&gt;&lt;author&gt;Chen, Fu&lt;/author&gt;&lt;/authors&gt;&lt;/contributors&gt;&lt;titles&gt;&lt;title&gt;Assessment of carbon sequestration potential of mining areas under ecological restoration in China&lt;/title&gt;&lt;secondary-title&gt;Science of the Total Environment&lt;/secondary-title&gt;&lt;/titles&gt;&lt;periodical&gt;&lt;full-title&gt;Science of the Total Environment&lt;/full-title&gt;&lt;/periodical&gt;&lt;pages&gt;171179&lt;/pages&gt;&lt;volume&gt;921&lt;/volume&gt;&lt;dates&gt;&lt;year&gt;2024&lt;/year&gt;&lt;/dates&gt;&lt;isbn&gt;0048-9697&lt;/isbn&gt;&lt;urls&gt;&lt;/urls&gt;&lt;/record&gt;&lt;/Cite&gt;&lt;/EndNote&gt;</w:instrText>
      </w:r>
      <w:r w:rsidR="00ED56F0">
        <w:fldChar w:fldCharType="separate"/>
      </w:r>
      <w:r w:rsidR="00ED56F0">
        <w:rPr>
          <w:noProof/>
        </w:rPr>
        <w:t>[4]</w:t>
      </w:r>
      <w:r w:rsidR="00ED56F0">
        <w:fldChar w:fldCharType="end"/>
      </w:r>
      <w:r>
        <w:t>. Vegetation loss cascading effects on local climate regulation, soil stability and habitat connectivity have been described</w:t>
      </w:r>
      <w:r w:rsidR="00ED56F0">
        <w:fldChar w:fldCharType="begin"/>
      </w:r>
      <w:r w:rsidR="00ED56F0">
        <w:instrText xml:space="preserve"> ADDIN EN.CITE &lt;EndNote&gt;&lt;Cite&gt;&lt;Author&gt;Ji&lt;/Author&gt;&lt;Year&gt;2022&lt;/Year&gt;&lt;RecNum&gt;5&lt;/RecNum&gt;&lt;DisplayText&gt;[5]&lt;/DisplayText&gt;&lt;record&gt;&lt;rec-number&gt;5&lt;/rec-number&gt;&lt;foreign-keys&gt;&lt;key app="EN" db-id="zfr5etsptzafvkews50vf091przvpwxsvt0x" timestamp="1753088733"&gt;5&lt;/key&gt;&lt;/foreign-keys&gt;&lt;ref-type name="Journal Article"&gt;17&lt;/ref-type&gt;&lt;contributors&gt;&lt;authors&gt;&lt;author&gt;Ji, Siwen&lt;/author&gt;&lt;author&gt;Ma, Shuhua&lt;/author&gt;&lt;/authors&gt;&lt;/contributors&gt;&lt;titles&gt;&lt;title&gt;The effects of industrial pollution on ecosystem service value: A case study in a heavy industrial area, China&lt;/title&gt;&lt;secondary-title&gt;Environment, Development and Sustainability&lt;/secondary-title&gt;&lt;/titles&gt;&lt;periodical&gt;&lt;full-title&gt;Environment, Development and Sustainability&lt;/full-title&gt;&lt;/periodical&gt;&lt;pages&gt;6804-6833&lt;/pages&gt;&lt;volume&gt;24&lt;/volume&gt;&lt;number&gt;5&lt;/number&gt;&lt;dates&gt;&lt;year&gt;2022&lt;/year&gt;&lt;/dates&gt;&lt;isbn&gt;1387-585X&lt;/isbn&gt;&lt;urls&gt;&lt;/urls&gt;&lt;/record&gt;&lt;/Cite&gt;&lt;/EndNote&gt;</w:instrText>
      </w:r>
      <w:r w:rsidR="00ED56F0">
        <w:fldChar w:fldCharType="separate"/>
      </w:r>
      <w:r w:rsidR="00ED56F0">
        <w:rPr>
          <w:noProof/>
        </w:rPr>
        <w:t>[5]</w:t>
      </w:r>
      <w:r w:rsidR="00ED56F0">
        <w:fldChar w:fldCharType="end"/>
      </w:r>
      <w:r>
        <w:t>. Moreover, vegetation is a key component of terrestrial ecosystems which are threatened by various factors such as deforestation, industrial growth and climatic impacts</w:t>
      </w:r>
      <w:r w:rsidR="00ED56F0">
        <w:fldChar w:fldCharType="begin"/>
      </w:r>
      <w:r w:rsidR="00ED56F0">
        <w:instrText xml:space="preserve"> ADDIN EN.CITE &lt;EndNote&gt;&lt;Cite&gt;&lt;Author&gt;Wu&lt;/Author&gt;&lt;Year&gt;2023&lt;/Year&gt;&lt;RecNum&gt;6&lt;/RecNum&gt;&lt;DisplayText&gt;[6]&lt;/DisplayText&gt;&lt;record&gt;&lt;rec-number&gt;6&lt;/rec-number&gt;&lt;foreign-keys&gt;&lt;key app="EN" db-id="zfr5etsptzafvkews50vf091przvpwxsvt0x" timestamp="1753088872"&gt;6&lt;/key&gt;&lt;/foreign-keys&gt;&lt;ref-type name="Journal Article"&gt;17&lt;/ref-type&gt;&lt;contributors&gt;&lt;authors&gt;&lt;author&gt;Wu, Bingfang&lt;/author&gt;&lt;author&gt;Zhang, Miao&lt;/author&gt;&lt;author&gt;Zeng, Hongwei&lt;/author&gt;&lt;author&gt;Tian, Fuyou&lt;/author&gt;&lt;author&gt;Potgieter, Andries B&lt;/author&gt;&lt;author&gt;Qin, Xingli&lt;/author&gt;&lt;author&gt;Yan, Nana&lt;/author&gt;&lt;author&gt;Chang, Sheng&lt;/author&gt;&lt;author&gt;Zhao, Yan&lt;/author&gt;&lt;author&gt;Dong, Qinghan&lt;/author&gt;&lt;/authors&gt;&lt;/contributors&gt;&lt;titles&gt;&lt;title&gt;Challenges and opportunities in remote sensing-based crop monitoring: A review&lt;/title&gt;&lt;secondary-title&gt;National Science Review&lt;/secondary-title&gt;&lt;/titles&gt;&lt;periodical&gt;&lt;full-title&gt;National Science Review&lt;/full-title&gt;&lt;/periodical&gt;&lt;pages&gt;nwac290&lt;/pages&gt;&lt;volume&gt;10&lt;/volume&gt;&lt;number&gt;4&lt;/number&gt;&lt;dates&gt;&lt;year&gt;2023&lt;/year&gt;&lt;/dates&gt;&lt;isbn&gt;2095-5138&lt;/isbn&gt;&lt;urls&gt;&lt;/urls&gt;&lt;/record&gt;&lt;/Cite&gt;&lt;/EndNote&gt;</w:instrText>
      </w:r>
      <w:r w:rsidR="00ED56F0">
        <w:fldChar w:fldCharType="separate"/>
      </w:r>
      <w:r w:rsidR="00ED56F0">
        <w:rPr>
          <w:noProof/>
        </w:rPr>
        <w:t>[6]</w:t>
      </w:r>
      <w:r w:rsidR="00ED56F0">
        <w:fldChar w:fldCharType="end"/>
      </w:r>
      <w:r>
        <w:t xml:space="preserve"> a cornerstone of the functionality of terrestrial ecosystems. The use of remote sensing technique in monitoring vegetation status and dynamics has developed to be an indispensable approach towards promoting eco-research and successful resource management especially for industrial disturbed habitat</w:t>
      </w:r>
      <w:r w:rsidR="00ED56F0">
        <w:fldChar w:fldCharType="begin"/>
      </w:r>
      <w:r w:rsidR="00ED56F0">
        <w:instrText xml:space="preserve"> ADDIN EN.CITE &lt;EndNote&gt;&lt;Cite&gt;&lt;Author&gt;Song&lt;/Author&gt;&lt;Year&gt;2020&lt;/Year&gt;&lt;RecNum&gt;7&lt;/RecNum&gt;&lt;DisplayText&gt;[7]&lt;/DisplayText&gt;&lt;record&gt;&lt;rec-number&gt;7&lt;/rec-number&gt;&lt;foreign-keys&gt;&lt;key app="EN" db-id="zfr5etsptzafvkews50vf091przvpwxsvt0x" timestamp="1753088946"&gt;7&lt;/key&gt;&lt;/foreign-keys&gt;&lt;ref-type name="Journal Article"&gt;17&lt;/ref-type&gt;&lt;contributors&gt;&lt;authors&gt;&lt;author&gt;Song, Wen&lt;/author&gt;&lt;author&gt;Song, Wei&lt;/author&gt;&lt;author&gt;Gu, Haihong&lt;/author&gt;&lt;author&gt;Li, Fuping&lt;/author&gt;&lt;/authors&gt;&lt;/contributors&gt;&lt;titles&gt;&lt;title&gt;Progress in the remote sensing monitoring of the ecological environment in mining areas&lt;/title&gt;&lt;secondary-title&gt;International journal of environmental research and public health&lt;/secondary-title&gt;&lt;/titles&gt;&lt;periodical&gt;&lt;full-title&gt;International journal of environmental research and public health&lt;/full-title&gt;&lt;/periodical&gt;&lt;pages&gt;1846&lt;/pages&gt;&lt;volume&gt;17&lt;/volume&gt;&lt;number&gt;6&lt;/number&gt;&lt;dates&gt;&lt;year&gt;2020&lt;/year&gt;&lt;/dates&gt;&lt;isbn&gt;1660-4601&lt;/isbn&gt;&lt;urls&gt;&lt;/urls&gt;&lt;/record&gt;&lt;/Cite&gt;&lt;/EndNote&gt;</w:instrText>
      </w:r>
      <w:r w:rsidR="00ED56F0">
        <w:fldChar w:fldCharType="separate"/>
      </w:r>
      <w:r w:rsidR="00ED56F0">
        <w:rPr>
          <w:noProof/>
        </w:rPr>
        <w:t>[7]</w:t>
      </w:r>
      <w:r w:rsidR="00ED56F0">
        <w:fldChar w:fldCharType="end"/>
      </w:r>
      <w:r>
        <w:t>.</w:t>
      </w:r>
    </w:p>
    <w:p w14:paraId="251321F5" w14:textId="706F7662" w:rsidR="00ED75D1" w:rsidRDefault="00ED75D1" w:rsidP="00ED75D1">
      <w:r>
        <w:t>Power plants produce distinct environment conditions, which can have substantial effects on local vegetation changes</w:t>
      </w:r>
      <w:r w:rsidR="00ED56F0">
        <w:fldChar w:fldCharType="begin"/>
      </w:r>
      <w:r w:rsidR="00ED56F0">
        <w:instrText xml:space="preserve"> ADDIN EN.CITE &lt;EndNote&gt;&lt;Cite&gt;&lt;Author&gt;Yates&lt;/Author&gt;&lt;Year&gt;2000&lt;/Year&gt;&lt;RecNum&gt;8&lt;/RecNum&gt;&lt;DisplayText&gt;[8]&lt;/DisplayText&gt;&lt;record&gt;&lt;rec-number&gt;8&lt;/rec-number&gt;&lt;foreign-keys&gt;&lt;key app="EN" db-id="zfr5etsptzafvkews50vf091przvpwxsvt0x" timestamp="1753088984"&gt;8&lt;/key&gt;&lt;/foreign-keys&gt;&lt;ref-type name="Journal Article"&gt;17&lt;/ref-type&gt;&lt;contributors&gt;&lt;authors&gt;&lt;author&gt;Yates, Colin J&lt;/author&gt;&lt;author&gt;Norton, David A&lt;/author&gt;&lt;author&gt;Hobbs, Richard J&lt;/author&gt;&lt;/authors&gt;&lt;/contributors&gt;&lt;titles&gt;&lt;title&gt;Grazing effects on plant cover, soil</w:instrText>
      </w:r>
      <w:r w:rsidR="00ED56F0">
        <w:rPr>
          <w:rFonts w:hint="eastAsia"/>
        </w:rPr>
        <w:instrText xml:space="preserve"> and microclimate in fragmented woodlands in south</w:instrText>
      </w:r>
      <w:r w:rsidR="00ED56F0">
        <w:rPr>
          <w:rFonts w:hint="eastAsia"/>
        </w:rPr>
        <w:instrText>‐</w:instrText>
      </w:r>
      <w:r w:rsidR="00ED56F0">
        <w:rPr>
          <w:rFonts w:hint="eastAsia"/>
        </w:rPr>
        <w:instrText>western Australia: implications for restoration&lt;/title&gt;&lt;secondary-title&gt;Austral Ecology&lt;/secondary-title&gt;&lt;/titles&gt;&lt;periodical&gt;&lt;full-title&gt;Austral Ecology&lt;/full-title&gt;&lt;/periodical&gt;&lt;pages&gt;36-47&lt;/pages&gt;&lt;volu</w:instrText>
      </w:r>
      <w:r w:rsidR="00ED56F0">
        <w:instrText>me&gt;25&lt;/volume&gt;&lt;number&gt;1&lt;/number&gt;&lt;dates&gt;&lt;year&gt;2000&lt;/year&gt;&lt;/dates&gt;&lt;isbn&gt;1442-9985&lt;/isbn&gt;&lt;urls&gt;&lt;/urls&gt;&lt;/record&gt;&lt;/Cite&gt;&lt;/EndNote&gt;</w:instrText>
      </w:r>
      <w:r w:rsidR="00ED56F0">
        <w:fldChar w:fldCharType="separate"/>
      </w:r>
      <w:r w:rsidR="00ED56F0">
        <w:rPr>
          <w:noProof/>
        </w:rPr>
        <w:t>[8]</w:t>
      </w:r>
      <w:r w:rsidR="00ED56F0">
        <w:fldChar w:fldCharType="end"/>
      </w:r>
      <w:r>
        <w:t>. The recent environmental assessment of the Tennessee Valley Authority regarding vegetation management notes that multiple types of vegetation can obstruct the flow of electric power, but also acknowledges the role maintaining natural balance plays</w:t>
      </w:r>
      <w:r w:rsidR="00ED56F0">
        <w:fldChar w:fldCharType="begin"/>
      </w:r>
      <w:r w:rsidR="00ED56F0">
        <w:instrText xml:space="preserve"> ADDIN EN.CITE &lt;EndNote&gt;&lt;Cite&gt;&lt;Author&gt;Yin&lt;/Author&gt;&lt;Year&gt;2025&lt;/Year&gt;&lt;RecNum&gt;9&lt;/RecNum&gt;&lt;DisplayText&gt;[9]&lt;/DisplayText&gt;&lt;record&gt;&lt;rec-number&gt;9&lt;/rec-number&gt;&lt;foreign-keys&gt;&lt;key app="EN" db-id="zfr5etsptzafvkews50vf091przvpwxsvt0x" timestamp="1753089011"&gt;9&lt;/key&gt;&lt;/foreign-keys&gt;&lt;ref-type name="Journal Article"&gt;17&lt;/ref-type&gt;&lt;contributors&gt;&lt;authors&gt;&lt;author&gt;Yin, Jianguang&lt;/author&gt;&lt;author&gt;Wei, Qingquan&lt;/author&gt;&lt;author&gt;Shao, Dongliang&lt;/author&gt;&lt;author&gt;Luo, Zhiwei&lt;/author&gt;&lt;author&gt;Ji, Ling&lt;/author&gt;&lt;/authors&gt;&lt;/contributors&gt;&lt;titles&gt;&lt;title&gt;The impacts of power transmission and transformation projects on ecological corridors and landscape connectivity: a case study of Shandong province, China&lt;/title&gt;&lt;secondary-title&gt;Scientific Reports&lt;/secondary-title&gt;&lt;/titles&gt;&lt;periodical&gt;&lt;full-title&gt;Scientific Reports&lt;/full-title&gt;&lt;/periodical&gt;&lt;pages&gt;6709&lt;/pages&gt;&lt;volume&gt;15&lt;/volume&gt;&lt;number&gt;1&lt;/number&gt;&lt;dates&gt;&lt;year&gt;2025&lt;/year&gt;&lt;/dates&gt;&lt;isbn&gt;2045-2322&lt;/isbn&gt;&lt;urls&gt;&lt;/urls&gt;&lt;/record&gt;&lt;/Cite&gt;&lt;/EndNote&gt;</w:instrText>
      </w:r>
      <w:r w:rsidR="00ED56F0">
        <w:fldChar w:fldCharType="separate"/>
      </w:r>
      <w:r w:rsidR="00ED56F0">
        <w:rPr>
          <w:noProof/>
        </w:rPr>
        <w:t>[9]</w:t>
      </w:r>
      <w:r w:rsidR="00ED56F0">
        <w:fldChar w:fldCharType="end"/>
      </w:r>
      <w:r>
        <w:t>. Vegetation monitoring of power line infrastructures is more and more important, not only for the operation safety but also for conserving environment, so that vegetation monitoring becomes a multi-objective task.</w:t>
      </w:r>
      <w:r w:rsidR="00ED56F0">
        <w:fldChar w:fldCharType="begin"/>
      </w:r>
      <w:r w:rsidR="00ED56F0">
        <w:instrText xml:space="preserve"> ADDIN EN.CITE &lt;EndNote&gt;&lt;Cite&gt;&lt;Author&gt;Wang&lt;/Author&gt;&lt;Year&gt;2020&lt;/Year&gt;&lt;RecNum&gt;10&lt;/RecNum&gt;&lt;DisplayText&gt;[10]&lt;/DisplayText&gt;&lt;record&gt;&lt;rec-number&gt;10&lt;/rec-number&gt;&lt;foreign-keys&gt;&lt;key app="EN" db-id="zfr5etsptzafvkews50vf091przvpwxsvt0x" timestamp="1753089057"&gt;10&lt;/key&gt;&lt;/foreign-keys&gt;&lt;ref-type name="Journal Article"&gt;17&lt;/ref-type&gt;&lt;contributors&gt;&lt;authors&gt;&lt;author&gt;Wang, Jia&lt;/author&gt;&lt;author&gt;Liu, Jiahong&lt;/author&gt;&lt;author&gt;Wang, Hao&lt;/author&gt;&lt;author&gt;Mei, Chao&lt;/author&gt;&lt;/authors&gt;&lt;/contributors&gt;&lt;titles&gt;&lt;title&gt;Approaches to multi-objective optimization and assessment of green infrastructure and their multi-functional effectiveness: a review&lt;/title&gt;&lt;secondary-title&gt;Water&lt;/secondary-title&gt;&lt;/titles&gt;&lt;periodical&gt;&lt;full-title&gt;Water&lt;/full-title&gt;&lt;/periodical&gt;&lt;pages&gt;2714&lt;/pages&gt;&lt;volume&gt;12&lt;/volume&gt;&lt;number&gt;10&lt;/number&gt;&lt;dates&gt;&lt;year&gt;2020&lt;/year&gt;&lt;/dates&gt;&lt;isbn&gt;2073-4441&lt;/isbn&gt;&lt;urls&gt;&lt;/urls&gt;&lt;/record&gt;&lt;/Cite&gt;&lt;/EndNote&gt;</w:instrText>
      </w:r>
      <w:r w:rsidR="00ED56F0">
        <w:fldChar w:fldCharType="separate"/>
      </w:r>
      <w:r w:rsidR="00ED56F0">
        <w:rPr>
          <w:noProof/>
        </w:rPr>
        <w:t>[10]</w:t>
      </w:r>
      <w:r w:rsidR="00ED56F0">
        <w:fldChar w:fldCharType="end"/>
      </w:r>
      <w:r>
        <w:t xml:space="preserve"> The main ecology risk of the power transmission and distribution project are: (1) tower foundation disturbance, (2) impact of the vegetation cover, (3) water and soil erosion, and (4) long-term ecosystem modification that remained for the life cycle of the facility</w:t>
      </w:r>
      <w:r w:rsidR="00ED56F0">
        <w:fldChar w:fldCharType="begin"/>
      </w:r>
      <w:r w:rsidR="00ED56F0">
        <w:instrText xml:space="preserve"> ADDIN EN.CITE &lt;EndNote&gt;&lt;Cite&gt;&lt;Author&gt;Francis&lt;/Author&gt;&lt;Year&gt;2011&lt;/Year&gt;&lt;RecNum&gt;11&lt;/RecNum&gt;&lt;DisplayText&gt;[11]&lt;/DisplayText&gt;&lt;record&gt;&lt;rec-number&gt;11&lt;/rec-number&gt;&lt;foreign-keys&gt;&lt;key app="EN" db-id="zfr5etsptzafvkews50vf091przvpwxsvt0x" timestamp="1753089094"&gt;11&lt;/key&gt;&lt;/foreign-keys&gt;&lt;ref-type name="Journal Article"&gt;17&lt;/ref-type&gt;&lt;contributors&gt;&lt;authors&gt;&lt;author&gt;Francis, Royce A&lt;/author&gt;&lt;author&gt;Falconi, Stefanie M&lt;/author&gt;&lt;author&gt;Nateghi, Roshanak&lt;/author&gt;&lt;author&gt;Guikema, Seth D&lt;/author&gt;&lt;/authors&gt;&lt;/contributors&gt;&lt;titles&gt;&lt;title&gt;Probabilistic life cycle analysis model for evaluating electric power infrastructure risk mitigation investments&lt;/title&gt;&lt;secondary-title&gt;Climatic change&lt;/secondary-title&gt;&lt;/titles&gt;&lt;periodical&gt;&lt;full-title&gt;Climatic change&lt;/full-title&gt;&lt;/periodical&gt;&lt;pages&gt;31-55&lt;/pages&gt;&lt;volume&gt;106&lt;/volume&gt;&lt;number&gt;1&lt;/number&gt;&lt;dates&gt;&lt;year&gt;2011&lt;/year&gt;&lt;/dates&gt;&lt;isbn&gt;0165-0009&lt;/isbn&gt;&lt;urls&gt;&lt;/urls&gt;&lt;/record&gt;&lt;/Cite&gt;&lt;/EndNote&gt;</w:instrText>
      </w:r>
      <w:r w:rsidR="00ED56F0">
        <w:fldChar w:fldCharType="separate"/>
      </w:r>
      <w:r w:rsidR="00ED56F0">
        <w:rPr>
          <w:noProof/>
        </w:rPr>
        <w:t>[11]</w:t>
      </w:r>
      <w:r w:rsidR="00ED56F0">
        <w:fldChar w:fldCharType="end"/>
      </w:r>
      <w:r>
        <w:t xml:space="preserve">. Studies have demonstrated that the NDVI value follows strong seasonal patterns of winter (0.45±0.02), monsoon (0.44±0.04), post–monsoon (0.41±0.02) and pre–monsoon (0.37±0.04) over subtropical regions </w:t>
      </w:r>
      <w:r w:rsidR="00ED56F0">
        <w:fldChar w:fldCharType="begin"/>
      </w:r>
      <w:r w:rsidR="00ED56F0">
        <w:instrText xml:space="preserve"> ADDIN EN.CITE &lt;EndNote&gt;&lt;Cite&gt;&lt;Author&gt;Panuju&lt;/Author&gt;&lt;Year&gt;2012&lt;/Year&gt;&lt;RecNum&gt;12&lt;/RecNum&gt;&lt;DisplayText&gt;[12]&lt;/DisplayText&gt;&lt;record&gt;&lt;rec-number&gt;12&lt;/rec-number&gt;&lt;foreign-keys&gt;&lt;key app="EN" db-id="zfr5etsptzafvkews50vf091przvpwxsvt0x" timestamp="1753089122"&gt;12&lt;/key&gt;&lt;/foreign-keys&gt;&lt;ref-type name="Journal Article"&gt;17&lt;/ref-type&gt;&lt;contributors&gt;&lt;authors&gt;&lt;author&gt;Panuju, Dyah R&lt;/author&gt;&lt;author&gt;Trisasongko, Bambang H&lt;/author&gt;&lt;/authors&gt;&lt;/contributors&gt;&lt;titles&gt;&lt;title&gt;Seasonal pattern of vegetative cover from NDVI time-series&lt;/title&gt;&lt;secondary-title&gt;Tropical Forests&lt;/secondary-title&gt;&lt;/titles&gt;&lt;periodical&gt;&lt;full-title&gt;Tropical Forests&lt;/full-title&gt;&lt;/periodical&gt;&lt;volume&gt;255&lt;/volume&gt;&lt;dates&gt;&lt;year&gt;2012&lt;/year&gt;&lt;/dates&gt;&lt;urls&gt;&lt;/urls&gt;&lt;/record&gt;&lt;/Cite&gt;&lt;/EndNote&gt;</w:instrText>
      </w:r>
      <w:r w:rsidR="00ED56F0">
        <w:fldChar w:fldCharType="separate"/>
      </w:r>
      <w:r w:rsidR="00ED56F0">
        <w:rPr>
          <w:noProof/>
        </w:rPr>
        <w:t>[12]</w:t>
      </w:r>
      <w:r w:rsidR="00ED56F0">
        <w:fldChar w:fldCharType="end"/>
      </w:r>
      <w:r>
        <w:t>. Such seasonal variations in biome response demonstrate complex inter-relationships among vegetation growth, climate variables, and anthropogenic activities, making it necessary to develop year-round monitoring strategies capable of measuring a full spectrum of ecosystem responses</w:t>
      </w:r>
      <w:r w:rsidR="00ED56F0">
        <w:fldChar w:fldCharType="begin"/>
      </w:r>
      <w:r w:rsidR="00ED56F0">
        <w:instrText xml:space="preserve"> ADDIN EN.CITE &lt;EndNote&gt;&lt;Cite&gt;&lt;Author&gt;Boschetti&lt;/Author&gt;&lt;Year&gt;2009&lt;/Year&gt;&lt;RecNum&gt;13&lt;/RecNum&gt;&lt;DisplayText&gt;[13]&lt;/DisplayText&gt;&lt;record&gt;&lt;rec-number&gt;13&lt;/rec-number&gt;&lt;foreign-keys&gt;&lt;key app="EN" db-id="zfr5etsptzafvkews50vf091przvpwxsvt0x" timestamp="1753089147"&gt;13&lt;/key&gt;&lt;/foreign-keys&gt;&lt;ref-type name="Journal Article"&gt;17&lt;/ref-type&gt;&lt;contributors&gt;&lt;authors&gt;&lt;author&gt;Boschetti, M&lt;/author&gt;&lt;author&gt;Stroppiana, D&lt;/author&gt;&lt;author&gt;Brivio, PA&lt;/author&gt;&lt;author&gt;Bocchi, S&lt;/author&gt;&lt;/authors&gt;&lt;/contributors&gt;&lt;titles&gt;&lt;title&gt;Multi-year monitoring of rice crop phenology through time series analysis of MODIS images&lt;/title&gt;&lt;secondary-title&gt;International journal of remote sensing&lt;/secondary-title&gt;&lt;/titles&gt;&lt;periodical&gt;&lt;full-title&gt;International Journal of Remote Sensing&lt;/full-title&gt;&lt;/periodical&gt;&lt;pages&gt;4643-4662&lt;/pages&gt;&lt;volume&gt;30&lt;/volume&gt;&lt;number&gt;18&lt;/number&gt;&lt;dates&gt;&lt;year&gt;2009&lt;/year&gt;&lt;/dates&gt;&lt;isbn&gt;0143-1161&lt;/isbn&gt;&lt;urls&gt;&lt;/urls&gt;&lt;/record&gt;&lt;/Cite&gt;&lt;/EndNote&gt;</w:instrText>
      </w:r>
      <w:r w:rsidR="00ED56F0">
        <w:fldChar w:fldCharType="separate"/>
      </w:r>
      <w:r w:rsidR="00ED56F0">
        <w:rPr>
          <w:noProof/>
        </w:rPr>
        <w:t>[13]</w:t>
      </w:r>
      <w:r w:rsidR="00ED56F0">
        <w:fldChar w:fldCharType="end"/>
      </w:r>
      <w:r>
        <w:t>.</w:t>
      </w:r>
    </w:p>
    <w:p w14:paraId="6A0A6993" w14:textId="0233851A" w:rsidR="00ED75D1" w:rsidRDefault="00ED75D1" w:rsidP="00ED75D1">
      <w:r>
        <w:t>Combining remote sensing technologies with machine learning algorithms has brought about a revolution in plant monitoring and assessment tools, providing unprecedented spatial and temporal resolutions in ecosystem assessment</w:t>
      </w:r>
      <w:r w:rsidR="00ED56F0">
        <w:fldChar w:fldCharType="begin"/>
      </w:r>
      <w:r w:rsidR="00ED56F0">
        <w:instrText xml:space="preserve"> ADDIN EN.CITE &lt;EndNote&gt;&lt;Cite&gt;&lt;Author&gt;Araujo&lt;/Author&gt;&lt;Year&gt;2023&lt;/Year&gt;&lt;RecNum&gt;14&lt;/RecNum&gt;&lt;DisplayText&gt;[14]&lt;/DisplayText&gt;&lt;record&gt;&lt;rec-number&gt;14&lt;/rec-number&gt;&lt;foreign-keys&gt;&lt;key app="EN" db-id="zfr5etsptzafvkews50vf091przvpwxsvt0x" timestamp="1753089175"&gt;14&lt;/key&gt;&lt;/foreign-keys&gt;&lt;ref-type name="Journal Article"&gt;17&lt;/ref-type&gt;&lt;contributors&gt;&lt;authors&gt;&lt;author&gt;Araujo, Sara Oleiro&lt;/author&gt;&lt;author&gt;Peres, Ricardo Silva&lt;/author&gt;&lt;author&gt;Ramalho, Jose Cochicho&lt;/author&gt;&lt;author&gt;Lidon, Fernando&lt;/author&gt;&lt;author&gt;Barata, Jose&lt;/author&gt;&lt;/authors&gt;&lt;/contributors&gt;&lt;titles&gt;&lt;title&gt;Machine learning applications in agriculture: current trends, challenges, and future perspectives&lt;/title&gt;&lt;secondary-title&gt;Agronomy&lt;/secondary-title&gt;&lt;/titles&gt;&lt;periodical&gt;&lt;full-title&gt;Agronomy&lt;/full-title&gt;&lt;/periodical&gt;&lt;pages&gt;2976&lt;/pages&gt;&lt;volume&gt;13&lt;/volume&gt;&lt;number&gt;12&lt;/number&gt;&lt;dates&gt;&lt;year&gt;2023&lt;/year&gt;&lt;/dates&gt;&lt;isbn&gt;2073-4395&lt;/isbn&gt;&lt;urls&gt;&lt;/urls&gt;&lt;/record&gt;&lt;/Cite&gt;&lt;/EndNote&gt;</w:instrText>
      </w:r>
      <w:r w:rsidR="00ED56F0">
        <w:fldChar w:fldCharType="separate"/>
      </w:r>
      <w:r w:rsidR="00ED56F0">
        <w:rPr>
          <w:noProof/>
        </w:rPr>
        <w:t>[14]</w:t>
      </w:r>
      <w:r w:rsidR="00ED56F0">
        <w:fldChar w:fldCharType="end"/>
      </w:r>
      <w:r>
        <w:t>. Recent studies have shown a significant growth in remote sensing and vegetation mapping related publications, from 6 papers in 2018 to 48 in 2015, which demonstrates that their potential has been increasingly recognized</w:t>
      </w:r>
      <w:r w:rsidR="00A103A9">
        <w:fldChar w:fldCharType="begin"/>
      </w:r>
      <w:r w:rsidR="00A103A9">
        <w:instrText xml:space="preserve"> ADDIN EN.CITE &lt;EndNote&gt;&lt;Cite&gt;&lt;Author&gt;Matyukira&lt;/Author&gt;&lt;Year&gt;2024&lt;/Year&gt;&lt;RecNum&gt;15&lt;/RecNum&gt;&lt;DisplayText&gt;[15]&lt;/DisplayText&gt;&lt;record&gt;&lt;rec-number&gt;15&lt;/rec-number&gt;&lt;foreign-keys&gt;&lt;key app="EN" db-id="zfr5etsptzafvkews50vf091przvpwxsvt0x" timestamp="1753089294"&gt;15&lt;/key&gt;&lt;/foreign-keys&gt;&lt;ref-type name="Journal Article"&gt;17&lt;/ref-type&gt;&lt;contributors&gt;&lt;authors&gt;&lt;author&gt;Matyukira, Charles&lt;/author&gt;&lt;author&gt;Mhangara, Paidamwoyo&lt;/author&gt;&lt;/authors&gt;&lt;/contributors&gt;&lt;titles&gt;&lt;title&gt;Advances in vegetation mapping through remote sensing and machine learning techniques: a scientometric review&lt;/title&gt;&lt;secondary-title&gt;European Journal of Remote Sensing&lt;/secondary-title&gt;&lt;/titles&gt;&lt;periodical&gt;&lt;full-title&gt;European Journal of Remote Sensing&lt;/full-title&gt;&lt;/periodical&gt;&lt;pages&gt;2422330&lt;/pages&gt;&lt;volume&gt;57&lt;/volume&gt;&lt;number&gt;1&lt;/number&gt;&lt;dates&gt;&lt;year&gt;2024&lt;/year&gt;&lt;/dates&gt;&lt;isbn&gt;2279-7254&lt;/isbn&gt;&lt;urls&gt;&lt;/urls&gt;&lt;/record&gt;&lt;/Cite&gt;&lt;/EndNote&gt;</w:instrText>
      </w:r>
      <w:r w:rsidR="00A103A9">
        <w:fldChar w:fldCharType="separate"/>
      </w:r>
      <w:r w:rsidR="00A103A9">
        <w:rPr>
          <w:noProof/>
        </w:rPr>
        <w:t>[15]</w:t>
      </w:r>
      <w:r w:rsidR="00A103A9">
        <w:fldChar w:fldCharType="end"/>
      </w:r>
      <w:r>
        <w:t>. Advanced sensors and satellite platforms and unmanned aerial vehicles (UAVs) have enabled the precision and scale of environment observation, allowing multiscale analysis that was previously not feasible</w:t>
      </w:r>
      <w:r w:rsidR="00A103A9">
        <w:fldChar w:fldCharType="begin"/>
      </w:r>
      <w:r w:rsidR="00A103A9">
        <w:instrText xml:space="preserve"> ADDIN EN.CITE &lt;EndNote&gt;&lt;Cite&gt;&lt;Author&gt;Maimaitijiang&lt;/Author&gt;&lt;Year&gt;2020&lt;/Year&gt;&lt;RecNum&gt;16&lt;/RecNum&gt;&lt;DisplayText&gt;[16]&lt;/DisplayText&gt;&lt;record&gt;&lt;rec-number&gt;16&lt;/rec-number&gt;&lt;foreign-keys&gt;&lt;key app="EN" db-id="zfr5etsptzafvkews50vf091przvpwxsvt0x" timestamp="1753089326"&gt;16&lt;/key&gt;&lt;/foreign-keys&gt;&lt;ref-type name="Journal Article"&gt;17&lt;/ref-type&gt;&lt;contributors&gt;&lt;authors&gt;&lt;author&gt;Maimaitijiang, Maitiniyazi&lt;/author&gt;&lt;author&gt;Sagan, Vasit&lt;/author&gt;&lt;author&gt;Sidike, Paheding&lt;/author&gt;&lt;author&gt;Daloye, Ahmad M&lt;/author&gt;&lt;author&gt;Erkbol, Hasanjan&lt;/author&gt;&lt;author&gt;Fritschi, Felix B&lt;/author&gt;&lt;/authors&gt;&lt;/contributors&gt;&lt;titles&gt;&lt;title&gt;Crop monitoring using satellite/UAV data fusion and machine learning&lt;/title&gt;&lt;secondary-title&gt;Remote Sensing&lt;/secondary-title&gt;&lt;/titles&gt;&lt;periodical&gt;&lt;full-title&gt;Remote Sensing&lt;/full-title&gt;&lt;/periodical&gt;&lt;pages&gt;1357&lt;/pages&gt;&lt;volume&gt;12&lt;/volume&gt;&lt;number&gt;9&lt;/number&gt;&lt;dates&gt;&lt;year&gt;2020&lt;/year&gt;&lt;/dates&gt;&lt;isbn&gt;2072-4292&lt;/isbn&gt;&lt;urls&gt;&lt;/urls&gt;&lt;/record&gt;&lt;/Cite&gt;&lt;/EndNote&gt;</w:instrText>
      </w:r>
      <w:r w:rsidR="00A103A9">
        <w:fldChar w:fldCharType="separate"/>
      </w:r>
      <w:r w:rsidR="00A103A9">
        <w:rPr>
          <w:noProof/>
        </w:rPr>
        <w:t>[16]</w:t>
      </w:r>
      <w:r w:rsidR="00A103A9">
        <w:fldChar w:fldCharType="end"/>
      </w:r>
      <w:r>
        <w:t xml:space="preserve">. Integration of algorithms such as random forest, support vector machine, neural network, and </w:t>
      </w:r>
      <w:proofErr w:type="spellStart"/>
      <w:r>
        <w:t>XGBRFClassifier</w:t>
      </w:r>
      <w:proofErr w:type="spellEnd"/>
      <w:r>
        <w:t xml:space="preserve"> has greatly improved our capability to monitor and analyze vegetation dynamics at different spatial and temporal scales</w:t>
      </w:r>
      <w:r w:rsidR="00A103A9">
        <w:fldChar w:fldCharType="begin"/>
      </w:r>
      <w:r w:rsidR="00A103A9">
        <w:instrText xml:space="preserve"> ADDIN EN.CITE &lt;EndNote&gt;&lt;Cite&gt;&lt;Author&gt;Asgari&lt;/Author&gt;&lt;Year&gt;2023&lt;/Year&gt;&lt;RecNum&gt;17&lt;/RecNum&gt;&lt;DisplayText&gt;[17]&lt;/DisplayText&gt;&lt;record&gt;&lt;rec-number&gt;17&lt;/rec-number&gt;&lt;foreign-keys&gt;&lt;key app="EN" db-id="zfr5etsptzafvkews50vf091przvpwxsvt0x" timestamp="1753089352"&gt;17&lt;/key&gt;&lt;/foreign-keys&gt;&lt;ref-type name="Journal Article"&gt;17&lt;/ref-type&gt;&lt;contributors&gt;&lt;authors&gt;&lt;author&gt;Asgari, S&lt;/author&gt;&lt;author&gt;Hasanlou, M&lt;/author&gt;&lt;/authors&gt;&lt;/contributors&gt;&lt;titles&gt;&lt;title&gt;A comparative study of machine learning classifiers for crop type mapping using vegetation indices&lt;/title&gt;&lt;secondary-title&gt;ISPRS Annals of the Photogrammetry, Remote Sensing and Spatial Information Sciences&lt;/secondary-title&gt;&lt;/titles&gt;&lt;periodical&gt;&lt;full-title&gt;ISPRS Annals of the Photogrammetry, Remote Sensing and Spatial Information Sciences&lt;/full-title&gt;&lt;/periodical&gt;&lt;pages&gt;79-85&lt;/pages&gt;&lt;volume&gt;10&lt;/volume&gt;&lt;dates&gt;&lt;year&gt;2023&lt;/year&gt;&lt;/dates&gt;&lt;isbn&gt;2194-9042&lt;/isbn&gt;&lt;urls&gt;&lt;/urls&gt;&lt;/record&gt;&lt;/Cite&gt;&lt;/EndNote&gt;</w:instrText>
      </w:r>
      <w:r w:rsidR="00A103A9">
        <w:fldChar w:fldCharType="separate"/>
      </w:r>
      <w:r w:rsidR="00A103A9">
        <w:rPr>
          <w:noProof/>
        </w:rPr>
        <w:t>[17]</w:t>
      </w:r>
      <w:r w:rsidR="00A103A9">
        <w:fldChar w:fldCharType="end"/>
      </w:r>
      <w:r>
        <w:t xml:space="preserve">. Past studies of vegetation monitoring around industrial </w:t>
      </w:r>
      <w:r>
        <w:lastRenderedPageBreak/>
        <w:t xml:space="preserve">operations have </w:t>
      </w:r>
      <w:proofErr w:type="spellStart"/>
      <w:r>
        <w:t>focussed</w:t>
      </w:r>
      <w:proofErr w:type="spellEnd"/>
      <w:r>
        <w:t xml:space="preserve"> largely on immediate and early recovery patterns to the detriment of the complex annual dynamics of the vegetation response to industrial stress</w:t>
      </w:r>
      <w:r w:rsidR="00A103A9">
        <w:fldChar w:fldCharType="begin"/>
      </w:r>
      <w:r w:rsidR="00A103A9">
        <w:instrText xml:space="preserve"> ADDIN EN.CITE &lt;EndNote&gt;&lt;Cite&gt;&lt;Author&gt;Liu&lt;/Author&gt;&lt;Year&gt;2022&lt;/Year&gt;&lt;RecNum&gt;18&lt;/RecNum&gt;&lt;DisplayText&gt;[18]&lt;/DisplayText&gt;&lt;record&gt;&lt;rec-number&gt;18&lt;/rec-number&gt;&lt;foreign-keys&gt;&lt;key app="EN" db-id="zfr5etsptzafvkews50vf091przvpwxsvt0x" timestamp="1753089377"&gt;18&lt;/key&gt;&lt;/foreign-keys&gt;&lt;ref-type name="Journal Article"&gt;17&lt;/ref-type&gt;&lt;contributors&gt;&lt;authors&gt;&lt;author&gt;Liu, Shaobo&lt;/author&gt;&lt;author&gt;Liu, Li&lt;/author&gt;&lt;author&gt;Li, Jiang&lt;/author&gt;&lt;author&gt;Zhou, Qingping&lt;/author&gt;&lt;author&gt;Ji, Yifeng&lt;/author&gt;&lt;author&gt;Lai, Wenbo&lt;/author&gt;&lt;author&gt;Long, Cui&lt;/author&gt;&lt;/authors&gt;&lt;/contributors&gt;&lt;titles&gt;&lt;title&gt;Spatiotemporal Variability of Human Disturbance Impacts on Ecosystem Services in Mining Areas&lt;/title&gt;&lt;secondary-title&gt;Sustainability&lt;/secondary-title&gt;&lt;/titles&gt;&lt;periodical&gt;&lt;full-title&gt;Sustainability&lt;/full-title&gt;&lt;/periodical&gt;&lt;pages&gt;7547&lt;/pages&gt;&lt;volume&gt;14&lt;/volume&gt;&lt;number&gt;13&lt;/number&gt;&lt;dates&gt;&lt;year&gt;2022&lt;/year&gt;&lt;/dates&gt;&lt;isbn&gt;2071-1050&lt;/isbn&gt;&lt;urls&gt;&lt;/urls&gt;&lt;/record&gt;&lt;/Cite&gt;&lt;/EndNote&gt;</w:instrText>
      </w:r>
      <w:r w:rsidR="00A103A9">
        <w:fldChar w:fldCharType="separate"/>
      </w:r>
      <w:r w:rsidR="00A103A9">
        <w:rPr>
          <w:noProof/>
        </w:rPr>
        <w:t>[18]</w:t>
      </w:r>
      <w:r w:rsidR="00A103A9">
        <w:fldChar w:fldCharType="end"/>
      </w:r>
      <w:r>
        <w:t>. In vegetation assessment, remote sensing has come a long way from estimating simple greenness indices to increasingly complex multi-temporal analyses capable of sensitively revealing modifications in the physiological status of the plant</w:t>
      </w:r>
      <w:r w:rsidR="00A103A9">
        <w:fldChar w:fldCharType="begin"/>
      </w:r>
      <w:r w:rsidR="00A103A9">
        <w:instrText xml:space="preserve"> ADDIN EN.CITE &lt;EndNote&gt;&lt;Cite&gt;&lt;Author&gt;Yengoh&lt;/Author&gt;&lt;Year&gt;2015&lt;/Year&gt;&lt;RecNum&gt;19&lt;/RecNum&gt;&lt;DisplayText&gt;[19]&lt;/DisplayText&gt;&lt;record&gt;&lt;rec-number&gt;19&lt;/rec-number&gt;&lt;foreign-keys&gt;&lt;key app="EN" db-id="zfr5etsptzafvkews50vf091przvpwxsvt0x" timestamp="1753089405"&gt;19&lt;/key&gt;&lt;/foreign-keys&gt;&lt;ref-type name="Book"&gt;6&lt;/ref-type&gt;&lt;contributors&gt;&lt;authors&gt;&lt;author&gt;Yengoh, Genesis T&lt;/author&gt;&lt;author&gt;Dent, David&lt;/author&gt;&lt;author&gt;Olsson, Lennart&lt;/author&gt;&lt;author&gt;Tengberg, Anna E&lt;/author&gt;&lt;author&gt;Tucker III, Compton J&lt;/author&gt;&lt;/authors&gt;&lt;/contributors&gt;&lt;titles&gt;&lt;title&gt;Use of the Normalized Difference Vegetation Index (NDVI) to assess Land degradation at multiple scales: current status, future trends, and practical considerations&lt;/title&gt;&lt;/titles&gt;&lt;dates&gt;&lt;year&gt;2015&lt;/year&gt;&lt;/dates&gt;&lt;publisher&gt;Springer&lt;/publisher&gt;&lt;isbn&gt;3319241125&lt;/isbn&gt;&lt;urls&gt;&lt;/urls&gt;&lt;/record&gt;&lt;/Cite&gt;&lt;/EndNote&gt;</w:instrText>
      </w:r>
      <w:r w:rsidR="00A103A9">
        <w:fldChar w:fldCharType="separate"/>
      </w:r>
      <w:r w:rsidR="00A103A9">
        <w:rPr>
          <w:noProof/>
        </w:rPr>
        <w:t>[19]</w:t>
      </w:r>
      <w:r w:rsidR="00A103A9">
        <w:fldChar w:fldCharType="end"/>
      </w:r>
      <w:r>
        <w:t xml:space="preserve">. The generation of global high quality vegetation products, such as the </w:t>
      </w:r>
      <w:proofErr w:type="spellStart"/>
      <w:r>
        <w:t>HiQ</w:t>
      </w:r>
      <w:proofErr w:type="spellEnd"/>
      <w:r>
        <w:t>-FPAR MODIS dataset (2000–2023), has enabled researchers to have access to long consistent data for vegetation monitoring</w:t>
      </w:r>
      <w:r w:rsidR="00A103A9">
        <w:fldChar w:fldCharType="begin"/>
      </w:r>
      <w:r w:rsidR="00A103A9">
        <w:instrText xml:space="preserve"> ADDIN EN.CITE &lt;EndNote&gt;&lt;Cite&gt;&lt;Author&gt;Yan&lt;/Author&gt;&lt;Year&gt;2025&lt;/Year&gt;&lt;RecNum&gt;20&lt;/RecNum&gt;&lt;DisplayText&gt;[20]&lt;/DisplayText&gt;&lt;record&gt;&lt;rec-number&gt;20&lt;/rec-number&gt;&lt;foreign-keys&gt;&lt;key app="EN" db-id="zfr5etsptzafvkews50vf091przvpwxsvt0x" timestamp="1753089430"&gt;20&lt;/key&gt;&lt;/foreign-keys&gt;&lt;ref-type name="Journal Article"&gt;17&lt;/ref-type&gt;&lt;contributors&gt;&lt;authors&gt;&lt;author&gt;Yan, Kai&lt;/author&gt;&lt;author&gt;Yu, Xinpei&lt;/author&gt;&lt;author&gt;Liu, Jinxiu&lt;/author&gt;&lt;author&gt;Wang, Jingrui&lt;/author&gt;&lt;author&gt;Chen, Xiuzhi&lt;/author&gt;&lt;author&gt;Pu, Jiabin&lt;/author&gt;&lt;author&gt;Weiss, Marie&lt;/author&gt;&lt;author&gt;Myneni, Ranga B&lt;/author&gt;&lt;/authors&gt;&lt;/contributors&gt;&lt;titles&gt;&lt;title&gt;HiQ-FPAR: A High-Quality and Value-added MODIS Global FPAR Product from 2000 to 2023&lt;/title&gt;&lt;secondary-title&gt;Scientific Data&lt;/secondary-title&gt;&lt;/titles&gt;&lt;periodical&gt;&lt;full-title&gt;Scientific Data&lt;/full-title&gt;&lt;/periodical&gt;&lt;pages&gt;72&lt;/pages&gt;&lt;volume&gt;12&lt;/volume&gt;&lt;number&gt;1&lt;/number&gt;&lt;dates&gt;&lt;year&gt;2025&lt;/year&gt;&lt;/dates&gt;&lt;isbn&gt;2052-4463&lt;/isbn&gt;&lt;urls&gt;&lt;/urls&gt;&lt;/record&gt;&lt;/Cite&gt;&lt;/EndNote&gt;</w:instrText>
      </w:r>
      <w:r w:rsidR="00A103A9">
        <w:fldChar w:fldCharType="separate"/>
      </w:r>
      <w:r w:rsidR="00A103A9">
        <w:rPr>
          <w:noProof/>
        </w:rPr>
        <w:t>[20]</w:t>
      </w:r>
      <w:r w:rsidR="00A103A9">
        <w:fldChar w:fldCharType="end"/>
      </w:r>
      <w:r>
        <w:t>.</w:t>
      </w:r>
    </w:p>
    <w:p w14:paraId="2C8127BC" w14:textId="13FFB8B5" w:rsidR="00ED75D1" w:rsidRDefault="00ED75D1" w:rsidP="00ED75D1">
      <w:r>
        <w:t>Machine learning techniques have shown a great potential for vegetation monitoring over complex industrial sites, and recent works have shown that they can downscale coarse-resolution data and fill in temporal gaps in satellite observations</w:t>
      </w:r>
      <w:r w:rsidR="00A103A9">
        <w:fldChar w:fldCharType="begin"/>
      </w:r>
      <w:r w:rsidR="00A103A9">
        <w:instrText xml:space="preserve"> ADDIN EN.CITE &lt;EndNote&gt;&lt;Cite&gt;&lt;Author&gt;Van Jaarsveld&lt;/Author&gt;&lt;Year&gt;2024&lt;/Year&gt;&lt;RecNum&gt;21&lt;/RecNum&gt;&lt;DisplayText&gt;[21]&lt;/DisplayText&gt;&lt;record&gt;&lt;rec-number&gt;21&lt;/rec-number&gt;&lt;foreign-keys&gt;&lt;key app="EN" db-id="zfr5etsptzafvkews50vf091przvpwxsvt0x" timestamp="1753089464"&gt;21&lt;/key&gt;&lt;/foreign-keys&gt;&lt;ref-type name="Journal Article"&gt;17&lt;/ref-type&gt;&lt;contributors&gt;&lt;authors&gt;&lt;author&gt;Van Jaarsveld, Barry&lt;/author&gt;&lt;author&gt;Hauswirth, Sandra M&lt;/author&gt;&lt;author&gt;Wanders, Niko&lt;/author&gt;&lt;/authors&gt;&lt;/contributors&gt;&lt;titles&gt;&lt;title&gt;Machine learning and global vegetation: random forests for downscaling and gap filling&lt;/title&gt;&lt;secondary-title&gt;Hydrology and Earth System Sciences&lt;/secondary-title&gt;&lt;/titles&gt;&lt;periodical&gt;&lt;full-title&gt;Hydrology and Earth System Sciences&lt;/full-title&gt;&lt;/periodical&gt;&lt;pages&gt;2357-2374&lt;/pages&gt;&lt;volume&gt;28&lt;/volume&gt;&lt;number&gt;11&lt;/number&gt;&lt;dates&gt;&lt;year&gt;2024&lt;/year&gt;&lt;/dates&gt;&lt;isbn&gt;1607-7938&lt;/isbn&gt;&lt;urls&gt;&lt;/urls&gt;&lt;/record&gt;&lt;/Cite&gt;&lt;/EndNote&gt;</w:instrText>
      </w:r>
      <w:r w:rsidR="00A103A9">
        <w:fldChar w:fldCharType="separate"/>
      </w:r>
      <w:r w:rsidR="00A103A9">
        <w:rPr>
          <w:noProof/>
        </w:rPr>
        <w:t>[21]</w:t>
      </w:r>
      <w:r w:rsidR="00A103A9">
        <w:fldChar w:fldCharType="end"/>
      </w:r>
      <w:r>
        <w:t>. The use of explainable machine learning methods is starting to illuminate complex relationships between different environmental factors and vegetation recovery that are not detected by standard statistical methods</w:t>
      </w:r>
      <w:r w:rsidR="00A103A9">
        <w:fldChar w:fldCharType="begin"/>
      </w:r>
      <w:r w:rsidR="00A103A9">
        <w:instrText xml:space="preserve"> ADDIN EN.CITE &lt;EndNote&gt;&lt;Cite&gt;&lt;Author&gt;Delaney&lt;/Author&gt;&lt;Year&gt;2024&lt;/Year&gt;&lt;RecNum&gt;22&lt;/RecNum&gt;&lt;DisplayText&gt;[22]&lt;/DisplayText&gt;&lt;record&gt;&lt;rec-number&gt;22&lt;/rec-number&gt;&lt;foreign-keys&gt;&lt;key app="EN" db-id="zfr5etsptzafvkews50vf091przvpwxsvt0x" timestamp="1753089489"&gt;22&lt;/key&gt;&lt;/foreign-keys&gt;&lt;ref-type name="Journal Article"&gt;17&lt;/ref-type&gt;&lt;contributors&gt;&lt;authors&gt;&lt;author&gt;Delaney, John T&lt;/author&gt;&lt;author&gt;Larson, Danelle M&lt;/author&gt;&lt;/authors&gt;&lt;/contributors&gt;&lt;titles&gt;&lt;title&gt;Using explainable machine learning methods to evaluate vulnerability and restoration potential of ecosystem state transitions&lt;/title&gt;&lt;secondary-title&gt;Conservation Biology&lt;/secondary-title&gt;&lt;/titles&gt;&lt;periodical&gt;&lt;full-title&gt;Conservation Biology&lt;/full-title&gt;&lt;/periodical&gt;&lt;pages&gt;e14203&lt;/pages&gt;&lt;volume&gt;38&lt;/volume&gt;&lt;number&gt;3&lt;/number&gt;&lt;dates&gt;&lt;year&gt;2024&lt;/year&gt;&lt;/dates&gt;&lt;isbn&gt;0888-8892&lt;/isbn&gt;&lt;urls&gt;&lt;/urls&gt;&lt;/record&gt;&lt;/Cite&gt;&lt;/EndNote&gt;</w:instrText>
      </w:r>
      <w:r w:rsidR="00A103A9">
        <w:fldChar w:fldCharType="separate"/>
      </w:r>
      <w:r w:rsidR="00A103A9">
        <w:rPr>
          <w:noProof/>
        </w:rPr>
        <w:t>[22]</w:t>
      </w:r>
      <w:r w:rsidR="00A103A9">
        <w:fldChar w:fldCharType="end"/>
      </w:r>
      <w:r>
        <w:t>. Forests have been studied to access health condition remotely by methods assisted by machine learning based on remote sensing that proved the combination of various information sources and advanced algorithms can increase precision of monitoring and prognostic</w:t>
      </w:r>
      <w:r w:rsidR="00A103A9">
        <w:fldChar w:fldCharType="begin"/>
      </w:r>
      <w:r w:rsidR="00A103A9">
        <w:instrText xml:space="preserve"> ADDIN EN.CITE &lt;EndNote&gt;&lt;Cite&gt;&lt;Author&gt;Divine&lt;/Author&gt;&lt;Year&gt;2024&lt;/Year&gt;&lt;RecNum&gt;23&lt;/RecNum&gt;&lt;DisplayText&gt;[23]&lt;/DisplayText&gt;&lt;record&gt;&lt;rec-number&gt;23&lt;/rec-number&gt;&lt;foreign-keys&gt;&lt;key app="EN" db-id="zfr5etsptzafvkews50vf091przvpwxsvt0x" timestamp="1753089516"&gt;23&lt;/key&gt;&lt;/foreign-keys&gt;&lt;ref-type name="Journal Article"&gt;17&lt;/ref-type&gt;&lt;contributors&gt;&lt;authors&gt;&lt;author&gt;Divine, ILOH&lt;/author&gt;&lt;author&gt;Aguma, C Peace&lt;/author&gt;&lt;author&gt;Olagunju, A Oyetoro&lt;/author&gt;&lt;/authors&gt;&lt;/contributors&gt;&lt;titles&gt;&lt;title&gt;Integrating AI enhanced remote sensing technologies with IOT networks for precision environmental monitoring and predicative ecosystem management&lt;/title&gt;&lt;/titles&gt;&lt;dates&gt;&lt;year&gt;2024&lt;/year&gt;&lt;/dates&gt;&lt;urls&gt;&lt;/urls&gt;&lt;/record&gt;&lt;/Cite&gt;&lt;/EndNote&gt;</w:instrText>
      </w:r>
      <w:r w:rsidR="00A103A9">
        <w:fldChar w:fldCharType="separate"/>
      </w:r>
      <w:r w:rsidR="00A103A9">
        <w:rPr>
          <w:noProof/>
        </w:rPr>
        <w:t>[23]</w:t>
      </w:r>
      <w:r w:rsidR="00A103A9">
        <w:fldChar w:fldCharType="end"/>
      </w:r>
      <w:r>
        <w:t>. Despite these improvements, the majority of studies to date have been based on single-season estimates or annual averages, potentially oversimplifying the full seasonal variability of the vegetation responses to industrial impact</w:t>
      </w:r>
      <w:r w:rsidR="00A103A9">
        <w:fldChar w:fldCharType="begin"/>
      </w:r>
      <w:r w:rsidR="00A103A9">
        <w:instrText xml:space="preserve"> ADDIN EN.CITE &lt;EndNote&gt;&lt;Cite&gt;&lt;Author&gt;Thompson&lt;/Author&gt;&lt;Year&gt;2020&lt;/Year&gt;&lt;RecNum&gt;24&lt;/RecNum&gt;&lt;DisplayText&gt;[24]&lt;/DisplayText&gt;&lt;record&gt;&lt;rec-number&gt;24&lt;/rec-number&gt;&lt;foreign-keys&gt;&lt;key app="EN" db-id="zfr5etsptzafvkews50vf091przvpwxsvt0x" timestamp="1753089545"&gt;24&lt;/key&gt;&lt;/foreign-keys&gt;&lt;ref-type name="Journal Article"&gt;17&lt;/ref-type&gt;&lt;contributors&gt;&lt;authors&gt;&lt;author&gt;Thompson, Graham G&lt;/author&gt;&lt;author&gt;Thompson, Scott A&lt;/author&gt;&lt;/authors&gt;&lt;/contributors&gt;&lt;titles&gt;&lt;title&gt;A comparison of an environmental impact assessment (EIA) vertebrate fauna survey with a post-approval fauna salvage program: consequences of not adhering to EIA survey guidelines, a Western Australian example&lt;/title&gt;&lt;secondary-title&gt;Pacific Conservation Biology&lt;/secondary-title&gt;&lt;/titles&gt;&lt;periodical&gt;&lt;full-title&gt;Pacific Conservation Biology&lt;/full-title&gt;&lt;/periodical&gt;&lt;pages&gt;412-419&lt;/pages&gt;&lt;volume&gt;26&lt;/volume&gt;&lt;number&gt;4&lt;/number&gt;&lt;dates&gt;&lt;year&gt;2020&lt;/year&gt;&lt;/dates&gt;&lt;isbn&gt;2204-4604&lt;/isbn&gt;&lt;urls&gt;&lt;/urls&gt;&lt;/record&gt;&lt;/Cite&gt;&lt;/EndNote&gt;</w:instrText>
      </w:r>
      <w:r w:rsidR="00A103A9">
        <w:fldChar w:fldCharType="separate"/>
      </w:r>
      <w:r w:rsidR="00A103A9">
        <w:rPr>
          <w:noProof/>
        </w:rPr>
        <w:t>[24]</w:t>
      </w:r>
      <w:r w:rsidR="00A103A9">
        <w:fldChar w:fldCharType="end"/>
      </w:r>
      <w:r>
        <w:t>. The combination of multisource remote sensing data together with land-based observation is a challenging issue and lacks standard protocols to long-term monitoring programs</w:t>
      </w:r>
      <w:r w:rsidR="00A103A9">
        <w:fldChar w:fldCharType="begin"/>
      </w:r>
      <w:r w:rsidR="00A103A9">
        <w:instrText xml:space="preserve"> ADDIN EN.CITE &lt;EndNote&gt;&lt;Cite&gt;&lt;Author&gt;Zhang&lt;/Author&gt;&lt;Year&gt;2010&lt;/Year&gt;&lt;RecNum&gt;25&lt;/RecNum&gt;&lt;DisplayText&gt;[25]&lt;/DisplayText&gt;&lt;record&gt;&lt;rec-number&gt;25&lt;/rec-number&gt;&lt;foreign-keys&gt;&lt;key app="EN" db-id="zfr5etsptzafvkews50vf091przvpwxsvt0x" timestamp="1753089589"&gt;25&lt;/key&gt;&lt;/foreign-keys&gt;&lt;ref-type name="Journal Article"&gt;17&lt;/ref-type&gt;&lt;contributors&gt;&lt;authors&gt;&lt;author&gt;Zhang, Jixian&lt;/author&gt;&lt;/authors&gt;&lt;/contributors&gt;&lt;titles&gt;&lt;title&gt;Multi-source remote sensing data fusion: status and trends&lt;/title&gt;&lt;secondary-title&gt;International journal of image and data fusion&lt;/secondary-title&gt;&lt;/titles&gt;&lt;periodical&gt;&lt;full-title&gt;International journal of image and data fusion&lt;/full-title&gt;&lt;/periodical&gt;&lt;pages&gt;5-24&lt;/pages&gt;&lt;volume&gt;1&lt;/volume&gt;&lt;number&gt;1&lt;/number&gt;&lt;dates&gt;&lt;year&gt;2010&lt;/year&gt;&lt;/dates&gt;&lt;isbn&gt;1947-9832&lt;/isbn&gt;&lt;urls&gt;&lt;/urls&gt;&lt;/record&gt;&lt;/Cite&gt;&lt;/EndNote&gt;</w:instrText>
      </w:r>
      <w:r w:rsidR="00A103A9">
        <w:fldChar w:fldCharType="separate"/>
      </w:r>
      <w:r w:rsidR="00A103A9">
        <w:rPr>
          <w:noProof/>
        </w:rPr>
        <w:t>[25]</w:t>
      </w:r>
      <w:r w:rsidR="00A103A9">
        <w:fldChar w:fldCharType="end"/>
      </w:r>
      <w:r>
        <w:t>. The detailed processes that drive seasonal vegetation dynamics under different power plant scenarios remain unclear as well, and knowledge mainly comes from generalized industrial impact assessments</w:t>
      </w:r>
      <w:r w:rsidR="00A103A9">
        <w:fldChar w:fldCharType="begin"/>
      </w:r>
      <w:r w:rsidR="00A103A9">
        <w:instrText xml:space="preserve"> ADDIN EN.CITE &lt;EndNote&gt;&lt;Cite&gt;&lt;Author&gt;Becker&lt;/Author&gt;&lt;Year&gt;2011&lt;/Year&gt;&lt;RecNum&gt;26&lt;/RecNum&gt;&lt;DisplayText&gt;[26]&lt;/DisplayText&gt;&lt;record&gt;&lt;rec-number&gt;26&lt;/rec-number&gt;&lt;foreign-keys&gt;&lt;key app="EN" db-id="zfr5etsptzafvkews50vf091przvpwxsvt0x" timestamp="1753089624"&gt;26&lt;/key&gt;&lt;/foreign-keys&gt;&lt;ref-type name="Journal Article"&gt;17&lt;/ref-type&gt;&lt;contributors&gt;&lt;authors&gt;&lt;author&gt;Becker, Randy A&lt;/author&gt;&lt;/authors&gt;&lt;/contributors&gt;&lt;titles&gt;&lt;title&gt;Local environmental regulation and plant-level productivity&lt;/title&gt;&lt;secondary-title&gt;Ecological Economics&lt;/secondary-title&gt;&lt;/titles&gt;&lt;periodical&gt;&lt;full-title&gt;Ecological Economics&lt;/full-title&gt;&lt;/periodical&gt;&lt;pages&gt;2516-2522&lt;/pages&gt;&lt;volume&gt;70&lt;/volume&gt;&lt;number&gt;12&lt;/number&gt;&lt;dates&gt;&lt;year&gt;2011&lt;/year&gt;&lt;/dates&gt;&lt;isbn&gt;0921-8009&lt;/isbn&gt;&lt;urls&gt;&lt;/urls&gt;&lt;/record&gt;&lt;/Cite&gt;&lt;/EndNote&gt;</w:instrText>
      </w:r>
      <w:r w:rsidR="00A103A9">
        <w:fldChar w:fldCharType="separate"/>
      </w:r>
      <w:r w:rsidR="00A103A9">
        <w:rPr>
          <w:noProof/>
        </w:rPr>
        <w:t>[26]</w:t>
      </w:r>
      <w:r w:rsidR="00A103A9">
        <w:fldChar w:fldCharType="end"/>
      </w:r>
      <w:r>
        <w:t>. Recent research has found that there are time periods when plant restoration should be undertaken in order to achieve the best chances of recovery by matching interventions to seasonal growth</w:t>
      </w:r>
      <w:r w:rsidR="00A103A9">
        <w:fldChar w:fldCharType="begin"/>
      </w:r>
      <w:r w:rsidR="00A103A9">
        <w:instrText xml:space="preserve"> ADDIN EN.CITE &lt;EndNote&gt;&lt;Cite&gt;&lt;Author&gt;Hou&lt;/Author&gt;&lt;Year&gt;2024&lt;/Year&gt;&lt;RecNum&gt;27&lt;/RecNum&gt;&lt;DisplayText&gt;[27]&lt;/DisplayText&gt;&lt;record&gt;&lt;rec-number&gt;27&lt;/rec-number&gt;&lt;foreign-keys&gt;&lt;key app="EN" db-id="zfr5etsptzafvkews50vf091przvpwxsvt0x" timestamp="1753089653"&gt;27&lt;/key&gt;&lt;/foreign-keys&gt;&lt;ref-type name="Journal Article"&gt;17&lt;/ref-type&gt;&lt;contributors&gt;&lt;authors&gt;&lt;author&gt;Hou, Li-Feng&lt;/author&gt;&lt;author&gt;Gao, Shu-Peng&lt;/author&gt;&lt;author&gt;Chang, Li-Li&lt;/author&gt;&lt;author&gt;Wu, Yong-Ping&lt;/author&gt;&lt;author&gt;Feng, Guo-Lin&lt;/author&gt;&lt;author&gt;Wang, Zhen&lt;/author&gt;&lt;author&gt;Sun, Gui-Quan&lt;/author&gt;&lt;/authors&gt;&lt;/contributors&gt;&lt;titles&gt;&lt;title&gt;Vegetation restoration strategies in arid or semi-arid regions—From the perspective of optimal control&lt;/title&gt;&lt;secondary-title&gt;Chaos: An Interdisciplinary Journal of Nonlinear Science&lt;/secondary-title&gt;&lt;/titles&gt;&lt;periodical&gt;&lt;full-title&gt;Chaos: An Interdisciplinary Journal of Nonlinear Science&lt;/full-title&gt;&lt;/periodical&gt;&lt;volume&gt;34&lt;/volume&gt;&lt;number&gt;11&lt;/number&gt;&lt;dates&gt;&lt;year&gt;2024&lt;/year&gt;&lt;/dates&gt;&lt;isbn&gt;1054-1500&lt;/isbn&gt;&lt;urls&gt;&lt;/urls&gt;&lt;/record&gt;&lt;/Cite&gt;&lt;/EndNote&gt;</w:instrText>
      </w:r>
      <w:r w:rsidR="00A103A9">
        <w:fldChar w:fldCharType="separate"/>
      </w:r>
      <w:r w:rsidR="00A103A9">
        <w:rPr>
          <w:noProof/>
        </w:rPr>
        <w:t>[27]</w:t>
      </w:r>
      <w:r w:rsidR="00A103A9">
        <w:fldChar w:fldCharType="end"/>
      </w:r>
      <w:r>
        <w:t>. Research on the distance-decay relationship in the impact areas has identified complex spatial patterns for industrial facilities that vary with facility type and environmental conditions</w:t>
      </w:r>
      <w:r w:rsidR="00A103A9">
        <w:fldChar w:fldCharType="begin"/>
      </w:r>
      <w:r w:rsidR="00A103A9">
        <w:instrText xml:space="preserve"> ADDIN EN.CITE &lt;EndNote&gt;&lt;Cite&gt;&lt;Author&gt;Zhao&lt;/Author&gt;&lt;Year&gt;2015&lt;/Year&gt;&lt;RecNum&gt;28&lt;/RecNum&gt;&lt;DisplayText&gt;[28]&lt;/DisplayText&gt;&lt;record&gt;&lt;rec-number&gt;28&lt;/rec-number&gt;&lt;foreign-keys&gt;&lt;key app="EN" db-id="zfr5etsptzafvkews50vf091przvpwxsvt0x" timestamp="1753089680"&gt;28&lt;/key&gt;&lt;/foreign-keys&gt;&lt;ref-type name="Journal Article"&gt;17&lt;/ref-type&gt;&lt;contributors&gt;&lt;authors&gt;&lt;author&gt;Zhao, Zhiqiang&lt;/author&gt;&lt;author&gt;Li, Shuangcheng&lt;/author&gt;&lt;author&gt;Liu, Jianguo&lt;/author&gt;&lt;author&gt;Peng, Jian&lt;/author&gt;&lt;author&gt;Wang, Yanglin&lt;/author&gt;&lt;/authors&gt;&lt;/contributors&gt;&lt;titles&gt;&lt;title&gt;The distance decay of similarity in climate variation and vegetation dynamics&lt;/title&gt;&lt;secondary-title&gt;Environmental Earth Sciences&lt;/secondary-title&gt;&lt;/titles&gt;&lt;periodical&gt;&lt;full-title&gt;Environmental Earth Sciences&lt;/full-title&gt;&lt;/periodical&gt;&lt;pages&gt;4659-4670&lt;/pages&gt;&lt;volume&gt;73&lt;/volume&gt;&lt;number&gt;8&lt;/number&gt;&lt;dates&gt;&lt;year&gt;2015&lt;/year&gt;&lt;/dates&gt;&lt;isbn&gt;1866-6280&lt;/isbn&gt;&lt;urls&gt;&lt;/urls&gt;&lt;/record&gt;&lt;/Cite&gt;&lt;/EndNote&gt;</w:instrText>
      </w:r>
      <w:r w:rsidR="00A103A9">
        <w:fldChar w:fldCharType="separate"/>
      </w:r>
      <w:r w:rsidR="00A103A9">
        <w:rPr>
          <w:noProof/>
        </w:rPr>
        <w:t>[28]</w:t>
      </w:r>
      <w:r w:rsidR="00A103A9">
        <w:fldChar w:fldCharType="end"/>
      </w:r>
      <w:r>
        <w:t>. Several multi-factor analyses have also found significant environmental predictors of restoration success that highlight the need to consider multiple stressors</w:t>
      </w:r>
      <w:r w:rsidR="00A103A9">
        <w:fldChar w:fldCharType="begin"/>
      </w:r>
      <w:r w:rsidR="00A103A9">
        <w:instrText xml:space="preserve"> ADDIN EN.CITE &lt;EndNote&gt;&lt;Cite&gt;&lt;Author&gt;Rowland-Schaefer&lt;/Author&gt;&lt;Year&gt;2024&lt;/Year&gt;&lt;RecNum&gt;29&lt;/RecNum&gt;&lt;DisplayText&gt;[29]&lt;/DisplayText&gt;&lt;record&gt;&lt;rec-number&gt;29&lt;/rec-number&gt;&lt;foreign-keys&gt;&lt;key app="EN" db-id="zfr5etsptzafvkews50vf091przvpwxsvt0x" timestamp="1753089710"&gt;29&lt;/key&gt;&lt;/foreign-keys&gt;&lt;ref-type name="Book"&gt;6&lt;/ref-type&gt;&lt;contributors&gt;&lt;authors&gt;&lt;author&gt;Rowland-Schaefer, Erin G&lt;/author&gt;&lt;/authors&gt;&lt;/contributors&gt;&lt;titles&gt;&lt;title&gt;On the Ground and From Above: A Multi-factor Analysis of the Direct and Indirect Drivers of Tallgrass Prairie Small Mammal Communities&lt;/title&gt;&lt;/titles&gt;&lt;dates&gt;&lt;year&gt;2024&lt;/year&gt;&lt;/dates&gt;&lt;publisher&gt;Northern Illinois University&lt;/publisher&gt;&lt;isbn&gt;9798382803234&lt;/isbn&gt;&lt;urls&gt;&lt;/urls&gt;&lt;/record&gt;&lt;/Cite&gt;&lt;/EndNote&gt;</w:instrText>
      </w:r>
      <w:r w:rsidR="00A103A9">
        <w:fldChar w:fldCharType="separate"/>
      </w:r>
      <w:r w:rsidR="00A103A9">
        <w:rPr>
          <w:noProof/>
        </w:rPr>
        <w:t>[29]</w:t>
      </w:r>
      <w:r w:rsidR="00A103A9">
        <w:fldChar w:fldCharType="end"/>
      </w:r>
      <w:r>
        <w:t>. The study on moisture-temperature interactions demonstrated the complicated contribution of seasonal climate variation to vegetation recovery</w:t>
      </w:r>
      <w:r w:rsidR="00A103A9">
        <w:fldChar w:fldCharType="begin"/>
      </w:r>
      <w:r w:rsidR="00A103A9">
        <w:instrText xml:space="preserve"> ADDIN EN.CITE &lt;EndNote&gt;&lt;Cite&gt;&lt;Author&gt;Yao&lt;/Author&gt;&lt;Year&gt;2023&lt;/Year&gt;&lt;RecNum&gt;30&lt;/RecNum&gt;&lt;DisplayText&gt;[30]&lt;/DisplayText&gt;&lt;record&gt;&lt;rec-number&gt;30&lt;/rec-number&gt;&lt;foreign-keys&gt;&lt;key app="EN" db-id="zfr5etsptzafvkews50vf091przvpwxsvt0x" timestamp="1753089735"&gt;30&lt;/key&gt;&lt;/foreign-keys&gt;&lt;ref-type name="Journal Article"&gt;17&lt;/ref-type&gt;&lt;contributors&gt;&lt;authors&gt;&lt;author&gt;Yao, Ying&lt;/author&gt;&lt;author&gt;Liu, Yanxu&lt;/author&gt;&lt;author&gt;Zhou, Sha&lt;/author&gt;&lt;author&gt;Song, Jiaxi&lt;/author&gt;&lt;author&gt;Fu, Bojie&lt;/author&gt;&lt;/authors&gt;&lt;/contributors&gt;&lt;titles&gt;&lt;title&gt;Soil moisture determines the recovery time of ecosystems from drought&lt;/title&gt;&lt;secondary-title&gt;Global Change Biology&lt;/secondary-title&gt;&lt;/titles&gt;&lt;periodical&gt;&lt;full-title&gt;Global Change Biology&lt;/full-title&gt;&lt;/periodical&gt;&lt;pages&gt;3562-3574&lt;/pages&gt;&lt;volume&gt;29&lt;/volume&gt;&lt;number&gt;13&lt;/number&gt;&lt;dates&gt;&lt;year&gt;2023&lt;/year&gt;&lt;/dates&gt;&lt;isbn&gt;1354-1013&lt;/isbn&gt;&lt;urls&gt;&lt;/urls&gt;&lt;/record&gt;&lt;/Cite&gt;&lt;/EndNote&gt;</w:instrText>
      </w:r>
      <w:r w:rsidR="00A103A9">
        <w:fldChar w:fldCharType="separate"/>
      </w:r>
      <w:r w:rsidR="00A103A9">
        <w:rPr>
          <w:noProof/>
        </w:rPr>
        <w:t>[30]</w:t>
      </w:r>
      <w:r w:rsidR="00A103A9">
        <w:fldChar w:fldCharType="end"/>
      </w:r>
      <w:r>
        <w:t>. Adaptive restoration strategies to respond to climate variability have become essential to guarantee the success of the restoration process</w:t>
      </w:r>
      <w:r w:rsidR="00A103A9">
        <w:fldChar w:fldCharType="begin"/>
      </w:r>
      <w:r w:rsidR="00A103A9">
        <w:instrText xml:space="preserve"> ADDIN EN.CITE &lt;EndNote&gt;&lt;Cite&gt;&lt;Author&gt;Hardegree&lt;/Author&gt;&lt;Year&gt;2012&lt;/Year&gt;&lt;RecNum&gt;31&lt;/RecNum&gt;&lt;DisplayText&gt;[31]&lt;/DisplayText&gt;&lt;record&gt;&lt;rec-number&gt;31&lt;/rec-number&gt;&lt;foreign-keys&gt;&lt;key app="EN" db-id="zfr5etsptzafvkews50vf091przvpwxsvt0x" timestamp="1753089767"&gt;31&lt;/key&gt;&lt;/foreign-keys&gt;&lt;ref-type name="Journal Article"&gt;17&lt;/ref-type&gt;&lt;contributors&gt;&lt;authors&gt;&lt;author&gt;Hardegree, Stuart P&lt;/author&gt;&lt;author&gt;Schneider, Jeanne M&lt;/author&gt;&lt;author&gt;Moffet, Corey A&lt;/author&gt;&lt;/authors&gt;&lt;/contributors&gt;&lt;titles&gt;&lt;title&gt;Weather variability and adaptive management for rangeland restoration&lt;/title&gt;&lt;secondary-title&gt;Rangelands&lt;/secondary-title&gt;&lt;/titles&gt;&lt;periodical&gt;&lt;full-title&gt;Rangelands&lt;/full-title&gt;&lt;/periodical&gt;&lt;pages&gt;53-56&lt;/pages&gt;&lt;volume&gt;34&lt;/volume&gt;&lt;number&gt;6&lt;/number&gt;&lt;dates&gt;&lt;year&gt;2012&lt;/year&gt;&lt;/dates&gt;&lt;isbn&gt;0190-0528&lt;/isbn&gt;&lt;urls&gt;&lt;/urls&gt;&lt;/record&gt;&lt;/Cite&gt;&lt;/EndNote&gt;</w:instrText>
      </w:r>
      <w:r w:rsidR="00A103A9">
        <w:fldChar w:fldCharType="separate"/>
      </w:r>
      <w:r w:rsidR="00A103A9">
        <w:rPr>
          <w:noProof/>
        </w:rPr>
        <w:t>[31]</w:t>
      </w:r>
      <w:r w:rsidR="00A103A9">
        <w:fldChar w:fldCharType="end"/>
      </w:r>
      <w:r>
        <w:t>. There has been an increasing demand for comprehensive ecosystem assessment in complex environmental situations, requiring the combination of multi-scale remote sensing methods.</w:t>
      </w:r>
    </w:p>
    <w:p w14:paraId="1ADAD8EA" w14:textId="71DE3062" w:rsidR="00ED75D1" w:rsidRPr="00ED75D1" w:rsidRDefault="00ED75D1" w:rsidP="00ED75D1">
      <w:r>
        <w:t xml:space="preserve">This study seeks to map and assess the recovery of a full suite of vegetation dynamics across power facilities using </w:t>
      </w:r>
      <w:proofErr w:type="spellStart"/>
      <w:r>
        <w:t>multiseason</w:t>
      </w:r>
      <w:proofErr w:type="spellEnd"/>
      <w:r>
        <w:t xml:space="preserve"> monitoring, advanced remote sensing technologies, and analysis frameworks, and develop a comprehensive system to monitor the full range of vegetation seasonal responses, and to provide decision support for vegetation restoration management. Fundamentally, the research elucidates how various seasons impact the velocity of vegetation recovery, the spatial distribution of vegetation recovery at different distances from power facilities, and the most important drivers of restoration success under various seasons. Based on the theoretical literature, we predict that rates of recovery will be strongly seasonal, recovering most rapidly during the ideal growing conditions, that spatial patterns will follow distance-decay relationships, but that this will be heavily modified by season, and that the relative importance of environmental factors will shift seasonally. The project will advance both theoretical development and practical engineering of ecosystem restoration and inform evidence-based next steps for achieving the balancing charge of </w:t>
      </w:r>
      <w:r>
        <w:lastRenderedPageBreak/>
        <w:t>arming energy infrastructures with the needs of ecological conservation via innovative multi-seasonal monitoring and advanced analytical approaches.</w:t>
      </w:r>
    </w:p>
    <w:p w14:paraId="74E9B7E1" w14:textId="6C83CC68" w:rsidR="00FC4262" w:rsidRPr="00FC4262" w:rsidRDefault="00FC4262" w:rsidP="00FC4262">
      <w:pPr>
        <w:pStyle w:val="2"/>
      </w:pPr>
      <w:r w:rsidRPr="00FC4262">
        <w:t>2 Methodology</w:t>
      </w:r>
    </w:p>
    <w:p w14:paraId="4540192A" w14:textId="2B8D32C4" w:rsidR="00FC4262" w:rsidRDefault="00FC4262" w:rsidP="00FC4262">
      <w:pPr>
        <w:pStyle w:val="3"/>
      </w:pPr>
      <w:r w:rsidRPr="00FC4262">
        <w:t>2.1 Study Area Description</w:t>
      </w:r>
    </w:p>
    <w:p w14:paraId="2ADDCC37" w14:textId="77777777" w:rsidR="00422B10" w:rsidRDefault="00B33BD9" w:rsidP="00F003CC">
      <w:r w:rsidRPr="00B33BD9">
        <w:t xml:space="preserve">The study area encompasses a 50-km radius surrounding the Datong Power Plant Complex (40°05'N, 113°17'E) in Shanxi Province, China, representing a typical coal-fired power generation region with significant ecological impacts. The region experiences a temperate continental climate characterized by mean annual temperature </w:t>
      </w:r>
      <w:r w:rsidR="00F003CC" w:rsidRPr="00B33BD9">
        <w:rPr>
          <w:position w:val="-12"/>
        </w:rPr>
        <w:object w:dxaOrig="1820" w:dyaOrig="380" w14:anchorId="6D120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9pt" o:ole="">
            <v:imagedata r:id="rId13" o:title=""/>
          </v:shape>
          <o:OLEObject Type="Embed" ProgID="Equation.DSMT4" ShapeID="_x0000_i1025" DrawAspect="Content" ObjectID="_1820670992" r:id="rId14"/>
        </w:object>
      </w:r>
      <w:r w:rsidRPr="00B33BD9">
        <w:t xml:space="preserve"> and precipitation </w:t>
      </w:r>
      <w:r w:rsidRPr="00B33BD9">
        <w:rPr>
          <w:position w:val="-12"/>
        </w:rPr>
        <w:object w:dxaOrig="1660" w:dyaOrig="360" w14:anchorId="1F0AA7D2">
          <v:shape id="_x0000_i1026" type="#_x0000_t75" style="width:83pt;height:18pt" o:ole="">
            <v:imagedata r:id="rId15" o:title=""/>
          </v:shape>
          <o:OLEObject Type="Embed" ProgID="Equation.DSMT4" ShapeID="_x0000_i1026" DrawAspect="Content" ObjectID="_1820670993" r:id="rId16"/>
        </w:object>
      </w:r>
      <w:r w:rsidRPr="00B33BD9">
        <w:t xml:space="preserve"> mm, with pronounced seasonal variations following the pattern </w:t>
      </w:r>
    </w:p>
    <w:p w14:paraId="2B913889" w14:textId="5974E22E" w:rsidR="00422B10" w:rsidRDefault="00422B10" w:rsidP="00422B10">
      <w:pPr>
        <w:pStyle w:val="MTDisplayEquation"/>
        <w:spacing w:after="156"/>
      </w:pPr>
      <w:r>
        <w:tab/>
      </w:r>
      <w:r w:rsidRPr="00422B10">
        <w:rPr>
          <w:position w:val="-12"/>
        </w:rPr>
        <w:object w:dxaOrig="2020" w:dyaOrig="360" w14:anchorId="56A04805">
          <v:shape id="_x0000_i1027" type="#_x0000_t75" style="width:101pt;height:18pt" o:ole="">
            <v:imagedata r:id="rId17" o:title=""/>
          </v:shape>
          <o:OLEObject Type="Embed" ProgID="Equation.DSMT4" ShapeID="_x0000_i1027" DrawAspect="Content" ObjectID="_1820670994" r:id="rId18"/>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1</w:instrText>
        </w:r>
      </w:fldSimple>
      <w:r>
        <w:instrText>)</w:instrText>
      </w:r>
      <w:r>
        <w:fldChar w:fldCharType="end"/>
      </w:r>
    </w:p>
    <w:p w14:paraId="321DB757" w14:textId="6D07DB7A" w:rsidR="00B33BD9" w:rsidRPr="00B33BD9" w:rsidRDefault="00B33BD9" w:rsidP="00F003CC">
      <w:r w:rsidRPr="00B33BD9">
        <w:t xml:space="preserve">where </w:t>
      </w:r>
      <w:r w:rsidRPr="00B33BD9">
        <w:rPr>
          <w:position w:val="-12"/>
        </w:rPr>
        <w:object w:dxaOrig="639" w:dyaOrig="360" w14:anchorId="230B2B36">
          <v:shape id="_x0000_i1028" type="#_x0000_t75" style="width:32pt;height:18pt" o:ole="">
            <v:imagedata r:id="rId19" o:title=""/>
          </v:shape>
          <o:OLEObject Type="Embed" ProgID="Equation.DSMT4" ShapeID="_x0000_i1028" DrawAspect="Content" ObjectID="_1820670995" r:id="rId20"/>
        </w:object>
      </w:r>
      <w:r w:rsidRPr="00B33BD9">
        <w:t xml:space="preserve"> represents June-August precipitation. The power facility consists of four operational units with a combined capacity of 2,520 MW, commissioned between 1985 and 2008, generating annual emissions of approximately </w:t>
      </w:r>
      <w:r w:rsidRPr="00B33BD9">
        <w:rPr>
          <w:position w:val="-14"/>
        </w:rPr>
        <w:object w:dxaOrig="1380" w:dyaOrig="380" w14:anchorId="42D7FFA4">
          <v:shape id="_x0000_i1029" type="#_x0000_t75" style="width:69pt;height:19pt" o:ole="">
            <v:imagedata r:id="rId21" o:title=""/>
          </v:shape>
          <o:OLEObject Type="Embed" ProgID="Equation.DSMT4" ShapeID="_x0000_i1029" DrawAspect="Content" ObjectID="_1820670996" r:id="rId22"/>
        </w:object>
      </w:r>
      <w:r w:rsidRPr="00B33BD9">
        <w:t xml:space="preserve"> tons and </w:t>
      </w:r>
      <w:r w:rsidRPr="00B33BD9">
        <w:rPr>
          <w:position w:val="-14"/>
        </w:rPr>
        <w:object w:dxaOrig="1420" w:dyaOrig="380" w14:anchorId="2165E869">
          <v:shape id="_x0000_i1030" type="#_x0000_t75" style="width:71pt;height:19pt" o:ole="">
            <v:imagedata r:id="rId23" o:title=""/>
          </v:shape>
          <o:OLEObject Type="Embed" ProgID="Equation.DSMT4" ShapeID="_x0000_i1030" DrawAspect="Content" ObjectID="_1820670997" r:id="rId24"/>
        </w:object>
      </w:r>
      <w:r w:rsidRPr="00B33BD9">
        <w:t xml:space="preserve"> tons based on 2023 operational data.</w:t>
      </w:r>
    </w:p>
    <w:p w14:paraId="3CEBC7ED" w14:textId="77777777" w:rsidR="003D2037" w:rsidRDefault="00B33BD9" w:rsidP="00F003CC">
      <w:r w:rsidRPr="00B33BD9">
        <w:t xml:space="preserve">The surrounding ecosystem comprises mixed temperate forest-grassland transitional zones, with dominant vegetation including </w:t>
      </w:r>
      <w:r w:rsidRPr="00B33BD9">
        <w:rPr>
          <w:i/>
          <w:iCs/>
        </w:rPr>
        <w:t xml:space="preserve">Pinus </w:t>
      </w:r>
      <w:proofErr w:type="spellStart"/>
      <w:r w:rsidRPr="00B33BD9">
        <w:rPr>
          <w:i/>
          <w:iCs/>
        </w:rPr>
        <w:t>tabuliformis</w:t>
      </w:r>
      <w:proofErr w:type="spellEnd"/>
      <w:r w:rsidRPr="00B33BD9">
        <w:t xml:space="preserve">, </w:t>
      </w:r>
      <w:r w:rsidRPr="00B33BD9">
        <w:rPr>
          <w:i/>
          <w:iCs/>
        </w:rPr>
        <w:t xml:space="preserve">Quercus </w:t>
      </w:r>
      <w:proofErr w:type="spellStart"/>
      <w:r w:rsidRPr="00B33BD9">
        <w:rPr>
          <w:i/>
          <w:iCs/>
        </w:rPr>
        <w:t>mongolica</w:t>
      </w:r>
      <w:proofErr w:type="spellEnd"/>
      <w:r w:rsidRPr="00B33BD9">
        <w:t xml:space="preserve">, and </w:t>
      </w:r>
      <w:r w:rsidRPr="00B33BD9">
        <w:rPr>
          <w:i/>
          <w:iCs/>
        </w:rPr>
        <w:t>Stipa grandis</w:t>
      </w:r>
      <w:r w:rsidRPr="00B33BD9">
        <w:t xml:space="preserve"> communities. Monitoring sites were selected using a stratified random sampling approach based on the criteria: </w:t>
      </w:r>
    </w:p>
    <w:p w14:paraId="08B1FB57" w14:textId="5C4CC27D" w:rsidR="003D2037" w:rsidRDefault="003D2037" w:rsidP="003D2037">
      <w:pPr>
        <w:pStyle w:val="MTDisplayEquation"/>
      </w:pPr>
      <w:r>
        <w:tab/>
      </w:r>
      <w:r w:rsidRPr="003D2037">
        <w:rPr>
          <w:position w:val="-12"/>
        </w:rPr>
        <w:object w:dxaOrig="1960" w:dyaOrig="360" w14:anchorId="16A4638C">
          <v:shape id="_x0000_i1031" type="#_x0000_t75" style="width:98pt;height:18pt" o:ole="">
            <v:imagedata r:id="rId25" o:title=""/>
          </v:shape>
          <o:OLEObject Type="Embed" ProgID="Equation.DSMT4" ShapeID="_x0000_i1031" DrawAspect="Content" ObjectID="_1820670998" r:id="rId2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2</w:instrText>
        </w:r>
      </w:fldSimple>
      <w:r>
        <w:instrText>)</w:instrText>
      </w:r>
      <w:r>
        <w:fldChar w:fldCharType="end"/>
      </w:r>
    </w:p>
    <w:p w14:paraId="006927A5" w14:textId="0E0899C9" w:rsidR="003D2037" w:rsidRDefault="00B33BD9" w:rsidP="00F003CC">
      <w:r w:rsidRPr="00B33BD9">
        <w:t xml:space="preserve">where </w:t>
      </w:r>
      <w:r w:rsidRPr="00B33BD9">
        <w:rPr>
          <w:position w:val="-12"/>
        </w:rPr>
        <w:object w:dxaOrig="240" w:dyaOrig="360" w14:anchorId="694C4B14">
          <v:shape id="_x0000_i1032" type="#_x0000_t75" style="width:12pt;height:18pt" o:ole="">
            <v:imagedata r:id="rId27" o:title=""/>
          </v:shape>
          <o:OLEObject Type="Embed" ProgID="Equation.DSMT4" ShapeID="_x0000_i1032" DrawAspect="Content" ObjectID="_1820670999" r:id="rId28"/>
        </w:object>
      </w:r>
      <w:r w:rsidRPr="00B33BD9">
        <w:t xml:space="preserve"> represents site suitability score, </w:t>
      </w:r>
      <w:r w:rsidRPr="00B33BD9">
        <w:rPr>
          <w:position w:val="-12"/>
        </w:rPr>
        <w:object w:dxaOrig="300" w:dyaOrig="360" w14:anchorId="477C749D">
          <v:shape id="_x0000_i1033" type="#_x0000_t75" style="width:15pt;height:18pt" o:ole="">
            <v:imagedata r:id="rId29" o:title=""/>
          </v:shape>
          <o:OLEObject Type="Embed" ProgID="Equation.DSMT4" ShapeID="_x0000_i1033" DrawAspect="Content" ObjectID="_1820671000" r:id="rId30"/>
        </w:object>
      </w:r>
      <w:r w:rsidRPr="00B33BD9">
        <w:t xml:space="preserve"> is distance from power facility (km), </w:t>
      </w:r>
      <w:r w:rsidRPr="00B33BD9">
        <w:rPr>
          <w:position w:val="-12"/>
        </w:rPr>
        <w:object w:dxaOrig="240" w:dyaOrig="360" w14:anchorId="290F49EE">
          <v:shape id="_x0000_i1034" type="#_x0000_t75" style="width:12pt;height:18pt" o:ole="">
            <v:imagedata r:id="rId31" o:title=""/>
          </v:shape>
          <o:OLEObject Type="Embed" ProgID="Equation.DSMT4" ShapeID="_x0000_i1034" DrawAspect="Content" ObjectID="_1820671001" r:id="rId32"/>
        </w:object>
      </w:r>
      <w:r w:rsidRPr="00B33BD9">
        <w:t xml:space="preserve"> is pre-disturbance vegetation cover (%), </w:t>
      </w:r>
      <w:r w:rsidRPr="00B33BD9">
        <w:rPr>
          <w:position w:val="-12"/>
        </w:rPr>
        <w:object w:dxaOrig="279" w:dyaOrig="360" w14:anchorId="5C185416">
          <v:shape id="_x0000_i1035" type="#_x0000_t75" style="width:14pt;height:18pt" o:ole="">
            <v:imagedata r:id="rId33" o:title=""/>
          </v:shape>
          <o:OLEObject Type="Embed" ProgID="Equation.DSMT4" ShapeID="_x0000_i1035" DrawAspect="Content" ObjectID="_1820671002" r:id="rId34"/>
        </w:object>
      </w:r>
      <w:r w:rsidRPr="00B33BD9">
        <w:t xml:space="preserve"> is elevation variance (m), and </w:t>
      </w:r>
      <w:r w:rsidRPr="00B33BD9">
        <w:rPr>
          <w:position w:val="-12"/>
        </w:rPr>
        <w:object w:dxaOrig="260" w:dyaOrig="360" w14:anchorId="74859317">
          <v:shape id="_x0000_i1036" type="#_x0000_t75" style="width:13pt;height:18pt" o:ole="">
            <v:imagedata r:id="rId35" o:title=""/>
          </v:shape>
          <o:OLEObject Type="Embed" ProgID="Equation.DSMT4" ShapeID="_x0000_i1036" DrawAspect="Content" ObjectID="_1820671003" r:id="rId36"/>
        </w:object>
      </w:r>
      <w:r w:rsidRPr="00B33BD9">
        <w:t xml:space="preserve"> is accessibility index (0-1). The seasonal vegetation dynamics exhibited distinct patterns as shown in Table 1, with vegetation coverage calculated as </w:t>
      </w:r>
    </w:p>
    <w:p w14:paraId="13E7AAEB" w14:textId="48ECE722" w:rsidR="003D2037" w:rsidRDefault="003D2037" w:rsidP="003D2037">
      <w:pPr>
        <w:pStyle w:val="MTDisplayEquation"/>
      </w:pPr>
      <w:r>
        <w:tab/>
      </w:r>
      <w:r w:rsidRPr="003D2037">
        <w:rPr>
          <w:position w:val="-28"/>
        </w:rPr>
        <w:object w:dxaOrig="2240" w:dyaOrig="680" w14:anchorId="4593F4D0">
          <v:shape id="_x0000_i1037" type="#_x0000_t75" style="width:112pt;height:34pt" o:ole="">
            <v:imagedata r:id="rId37" o:title=""/>
          </v:shape>
          <o:OLEObject Type="Embed" ProgID="Equation.DSMT4" ShapeID="_x0000_i1037" DrawAspect="Content" ObjectID="_1820671004" r:id="rId38"/>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3</w:instrText>
        </w:r>
      </w:fldSimple>
      <w:r>
        <w:instrText>)</w:instrText>
      </w:r>
      <w:r>
        <w:fldChar w:fldCharType="end"/>
      </w:r>
    </w:p>
    <w:p w14:paraId="390F5CA6" w14:textId="0AF5AD5E" w:rsidR="00B33BD9" w:rsidRPr="00B33BD9" w:rsidRDefault="00B33BD9" w:rsidP="00F003CC">
      <w:r w:rsidRPr="00B33BD9">
        <w:t xml:space="preserve">where </w:t>
      </w:r>
      <w:r w:rsidRPr="00B33BD9">
        <w:rPr>
          <w:position w:val="-12"/>
        </w:rPr>
        <w:object w:dxaOrig="260" w:dyaOrig="360" w14:anchorId="03335BC7">
          <v:shape id="_x0000_i1038" type="#_x0000_t75" style="width:13pt;height:18pt" o:ole="">
            <v:imagedata r:id="rId39" o:title=""/>
          </v:shape>
          <o:OLEObject Type="Embed" ProgID="Equation.DSMT4" ShapeID="_x0000_i1038" DrawAspect="Content" ObjectID="_1820671005" r:id="rId40"/>
        </w:object>
      </w:r>
      <w:r w:rsidRPr="00B33BD9">
        <w:t xml:space="preserve"> is the vegetated area and </w:t>
      </w:r>
      <w:r w:rsidRPr="00B33BD9">
        <w:rPr>
          <w:position w:val="-12"/>
        </w:rPr>
        <w:object w:dxaOrig="260" w:dyaOrig="360" w14:anchorId="2125B3A8">
          <v:shape id="_x0000_i1039" type="#_x0000_t75" style="width:13pt;height:18pt" o:ole="">
            <v:imagedata r:id="rId41" o:title=""/>
          </v:shape>
          <o:OLEObject Type="Embed" ProgID="Equation.DSMT4" ShapeID="_x0000_i1039" DrawAspect="Content" ObjectID="_1820671006" r:id="rId42"/>
        </w:object>
      </w:r>
      <w:r w:rsidRPr="00B33BD9">
        <w:t xml:space="preserve"> is the total area surveyed.</w:t>
      </w:r>
    </w:p>
    <w:p w14:paraId="1D621031" w14:textId="77777777" w:rsidR="00B33BD9" w:rsidRPr="00B33BD9" w:rsidRDefault="00B33BD9" w:rsidP="00F003CC">
      <w:pPr>
        <w:jc w:val="center"/>
      </w:pPr>
      <w:r w:rsidRPr="00B33BD9">
        <w:rPr>
          <w:b/>
          <w:bCs/>
        </w:rPr>
        <w:t>Table 1.</w:t>
      </w:r>
      <w:r w:rsidRPr="00B33BD9">
        <w:t xml:space="preserve"> Seasonal vegetation characteristics across monitoring zones (2019-2023 average)</w:t>
      </w:r>
    </w:p>
    <w:tbl>
      <w:tblPr>
        <w:tblStyle w:val="11"/>
        <w:tblW w:w="0" w:type="auto"/>
        <w:tblLook w:val="04A0" w:firstRow="1" w:lastRow="0" w:firstColumn="1" w:lastColumn="0" w:noHBand="0" w:noVBand="1"/>
      </w:tblPr>
      <w:tblGrid>
        <w:gridCol w:w="894"/>
        <w:gridCol w:w="1800"/>
        <w:gridCol w:w="2205"/>
        <w:gridCol w:w="1412"/>
        <w:gridCol w:w="1995"/>
      </w:tblGrid>
      <w:tr w:rsidR="00B33BD9" w:rsidRPr="00B33BD9" w14:paraId="37E5A458" w14:textId="77777777" w:rsidTr="00F003CC">
        <w:trPr>
          <w:cnfStyle w:val="100000000000" w:firstRow="1" w:lastRow="0" w:firstColumn="0" w:lastColumn="0" w:oddVBand="0" w:evenVBand="0" w:oddHBand="0" w:evenHBand="0" w:firstRowFirstColumn="0" w:firstRowLastColumn="0" w:lastRowFirstColumn="0" w:lastRowLastColumn="0"/>
        </w:trPr>
        <w:tc>
          <w:tcPr>
            <w:tcW w:w="0" w:type="auto"/>
            <w:hideMark/>
          </w:tcPr>
          <w:p w14:paraId="5613F101" w14:textId="77777777" w:rsidR="00B33BD9" w:rsidRPr="00B33BD9" w:rsidRDefault="00B33BD9" w:rsidP="00F003CC">
            <w:pPr>
              <w:jc w:val="center"/>
              <w:rPr>
                <w:b/>
                <w:bCs/>
              </w:rPr>
            </w:pPr>
            <w:r w:rsidRPr="00B33BD9">
              <w:rPr>
                <w:b/>
                <w:bCs/>
              </w:rPr>
              <w:t>Season</w:t>
            </w:r>
          </w:p>
        </w:tc>
        <w:tc>
          <w:tcPr>
            <w:tcW w:w="1800" w:type="dxa"/>
            <w:hideMark/>
          </w:tcPr>
          <w:p w14:paraId="56119EF6" w14:textId="77777777" w:rsidR="00B33BD9" w:rsidRPr="00B33BD9" w:rsidRDefault="00B33BD9" w:rsidP="00F003CC">
            <w:pPr>
              <w:jc w:val="center"/>
              <w:rPr>
                <w:b/>
                <w:bCs/>
              </w:rPr>
            </w:pPr>
            <w:r w:rsidRPr="00B33BD9">
              <w:rPr>
                <w:b/>
                <w:bCs/>
              </w:rPr>
              <w:t>Distance Zone</w:t>
            </w:r>
          </w:p>
        </w:tc>
        <w:tc>
          <w:tcPr>
            <w:tcW w:w="2205" w:type="dxa"/>
            <w:hideMark/>
          </w:tcPr>
          <w:p w14:paraId="7D0C16E9" w14:textId="77777777" w:rsidR="00B33BD9" w:rsidRPr="00B33BD9" w:rsidRDefault="00B33BD9" w:rsidP="00F003CC">
            <w:pPr>
              <w:jc w:val="center"/>
              <w:rPr>
                <w:b/>
                <w:bCs/>
              </w:rPr>
            </w:pPr>
            <w:r w:rsidRPr="00B33BD9">
              <w:rPr>
                <w:b/>
                <w:bCs/>
              </w:rPr>
              <w:t>Vegetation Coverage (%)</w:t>
            </w:r>
          </w:p>
        </w:tc>
        <w:tc>
          <w:tcPr>
            <w:tcW w:w="0" w:type="auto"/>
            <w:hideMark/>
          </w:tcPr>
          <w:p w14:paraId="53D7D6CA" w14:textId="77777777" w:rsidR="00B33BD9" w:rsidRPr="00B33BD9" w:rsidRDefault="00B33BD9" w:rsidP="00F003CC">
            <w:pPr>
              <w:jc w:val="center"/>
              <w:rPr>
                <w:b/>
                <w:bCs/>
              </w:rPr>
            </w:pPr>
            <w:r w:rsidRPr="00B33BD9">
              <w:rPr>
                <w:b/>
                <w:bCs/>
              </w:rPr>
              <w:t>Biomass (t/ha)</w:t>
            </w:r>
          </w:p>
        </w:tc>
        <w:tc>
          <w:tcPr>
            <w:tcW w:w="0" w:type="auto"/>
            <w:hideMark/>
          </w:tcPr>
          <w:p w14:paraId="1A57DDD3" w14:textId="77777777" w:rsidR="00B33BD9" w:rsidRPr="00B33BD9" w:rsidRDefault="00B33BD9" w:rsidP="00F003CC">
            <w:pPr>
              <w:jc w:val="center"/>
              <w:rPr>
                <w:b/>
                <w:bCs/>
              </w:rPr>
            </w:pPr>
            <w:r w:rsidRPr="00B33BD9">
              <w:rPr>
                <w:b/>
                <w:bCs/>
              </w:rPr>
              <w:t>Species Diversity (H')</w:t>
            </w:r>
          </w:p>
        </w:tc>
      </w:tr>
      <w:tr w:rsidR="00B33BD9" w:rsidRPr="00B33BD9" w14:paraId="36675178" w14:textId="77777777" w:rsidTr="00F003CC">
        <w:tc>
          <w:tcPr>
            <w:tcW w:w="0" w:type="auto"/>
            <w:hideMark/>
          </w:tcPr>
          <w:p w14:paraId="7FDEA2C0" w14:textId="77777777" w:rsidR="00B33BD9" w:rsidRPr="00B33BD9" w:rsidRDefault="00B33BD9" w:rsidP="00F003CC">
            <w:pPr>
              <w:jc w:val="center"/>
            </w:pPr>
            <w:r w:rsidRPr="00B33BD9">
              <w:t>Spring</w:t>
            </w:r>
          </w:p>
        </w:tc>
        <w:tc>
          <w:tcPr>
            <w:tcW w:w="1800" w:type="dxa"/>
            <w:hideMark/>
          </w:tcPr>
          <w:p w14:paraId="1B169757" w14:textId="77777777" w:rsidR="00B33BD9" w:rsidRPr="00B33BD9" w:rsidRDefault="00B33BD9" w:rsidP="00F003CC">
            <w:pPr>
              <w:jc w:val="center"/>
            </w:pPr>
            <w:r w:rsidRPr="00B33BD9">
              <w:t>Near (0-10 km)</w:t>
            </w:r>
          </w:p>
        </w:tc>
        <w:tc>
          <w:tcPr>
            <w:tcW w:w="2205" w:type="dxa"/>
            <w:hideMark/>
          </w:tcPr>
          <w:p w14:paraId="4CB8942F" w14:textId="77777777" w:rsidR="00B33BD9" w:rsidRPr="00B33BD9" w:rsidRDefault="00B33BD9" w:rsidP="00F003CC">
            <w:pPr>
              <w:jc w:val="center"/>
            </w:pPr>
            <w:r w:rsidRPr="00B33BD9">
              <w:t>42.3 ± 8.6</w:t>
            </w:r>
          </w:p>
        </w:tc>
        <w:tc>
          <w:tcPr>
            <w:tcW w:w="0" w:type="auto"/>
            <w:hideMark/>
          </w:tcPr>
          <w:p w14:paraId="6019B606" w14:textId="77777777" w:rsidR="00B33BD9" w:rsidRPr="00B33BD9" w:rsidRDefault="00B33BD9" w:rsidP="00F003CC">
            <w:pPr>
              <w:jc w:val="center"/>
            </w:pPr>
            <w:r w:rsidRPr="00B33BD9">
              <w:t>18.5 ± 4.2</w:t>
            </w:r>
          </w:p>
        </w:tc>
        <w:tc>
          <w:tcPr>
            <w:tcW w:w="0" w:type="auto"/>
            <w:hideMark/>
          </w:tcPr>
          <w:p w14:paraId="5568F40C" w14:textId="77777777" w:rsidR="00B33BD9" w:rsidRPr="00B33BD9" w:rsidRDefault="00B33BD9" w:rsidP="00F003CC">
            <w:pPr>
              <w:jc w:val="center"/>
            </w:pPr>
            <w:r w:rsidRPr="00B33BD9">
              <w:t>1.82 ± 0.31</w:t>
            </w:r>
          </w:p>
        </w:tc>
      </w:tr>
      <w:tr w:rsidR="00B33BD9" w:rsidRPr="00B33BD9" w14:paraId="29D4F01A" w14:textId="77777777" w:rsidTr="00F003CC">
        <w:tc>
          <w:tcPr>
            <w:tcW w:w="0" w:type="auto"/>
            <w:hideMark/>
          </w:tcPr>
          <w:p w14:paraId="34AD2BA8" w14:textId="77777777" w:rsidR="00B33BD9" w:rsidRPr="00B33BD9" w:rsidRDefault="00B33BD9" w:rsidP="00F003CC">
            <w:pPr>
              <w:jc w:val="center"/>
            </w:pPr>
          </w:p>
        </w:tc>
        <w:tc>
          <w:tcPr>
            <w:tcW w:w="1800" w:type="dxa"/>
            <w:hideMark/>
          </w:tcPr>
          <w:p w14:paraId="7270954F" w14:textId="77777777" w:rsidR="00B33BD9" w:rsidRPr="00B33BD9" w:rsidRDefault="00B33BD9" w:rsidP="00F003CC">
            <w:pPr>
              <w:jc w:val="center"/>
            </w:pPr>
            <w:r w:rsidRPr="00B33BD9">
              <w:t>Middle (10-25 km)</w:t>
            </w:r>
          </w:p>
        </w:tc>
        <w:tc>
          <w:tcPr>
            <w:tcW w:w="2205" w:type="dxa"/>
            <w:hideMark/>
          </w:tcPr>
          <w:p w14:paraId="641CEA43" w14:textId="77777777" w:rsidR="00B33BD9" w:rsidRPr="00B33BD9" w:rsidRDefault="00B33BD9" w:rsidP="00F003CC">
            <w:pPr>
              <w:jc w:val="center"/>
            </w:pPr>
            <w:r w:rsidRPr="00B33BD9">
              <w:t>58.7 ± 7.2</w:t>
            </w:r>
          </w:p>
        </w:tc>
        <w:tc>
          <w:tcPr>
            <w:tcW w:w="0" w:type="auto"/>
            <w:hideMark/>
          </w:tcPr>
          <w:p w14:paraId="44540234" w14:textId="77777777" w:rsidR="00B33BD9" w:rsidRPr="00B33BD9" w:rsidRDefault="00B33BD9" w:rsidP="00F003CC">
            <w:pPr>
              <w:jc w:val="center"/>
            </w:pPr>
            <w:r w:rsidRPr="00B33BD9">
              <w:t>26.3 ± 5.1</w:t>
            </w:r>
          </w:p>
        </w:tc>
        <w:tc>
          <w:tcPr>
            <w:tcW w:w="0" w:type="auto"/>
            <w:hideMark/>
          </w:tcPr>
          <w:p w14:paraId="65E55403" w14:textId="77777777" w:rsidR="00B33BD9" w:rsidRPr="00B33BD9" w:rsidRDefault="00B33BD9" w:rsidP="00F003CC">
            <w:pPr>
              <w:jc w:val="center"/>
            </w:pPr>
            <w:r w:rsidRPr="00B33BD9">
              <w:t>2.14 ± 0.28</w:t>
            </w:r>
          </w:p>
        </w:tc>
      </w:tr>
      <w:tr w:rsidR="00B33BD9" w:rsidRPr="00B33BD9" w14:paraId="60BB0FBE" w14:textId="77777777" w:rsidTr="00F003CC">
        <w:tc>
          <w:tcPr>
            <w:tcW w:w="0" w:type="auto"/>
            <w:hideMark/>
          </w:tcPr>
          <w:p w14:paraId="690BD655" w14:textId="77777777" w:rsidR="00B33BD9" w:rsidRPr="00B33BD9" w:rsidRDefault="00B33BD9" w:rsidP="00F003CC">
            <w:pPr>
              <w:jc w:val="center"/>
            </w:pPr>
          </w:p>
        </w:tc>
        <w:tc>
          <w:tcPr>
            <w:tcW w:w="1800" w:type="dxa"/>
            <w:hideMark/>
          </w:tcPr>
          <w:p w14:paraId="062A6043" w14:textId="77777777" w:rsidR="00B33BD9" w:rsidRPr="00B33BD9" w:rsidRDefault="00B33BD9" w:rsidP="00F003CC">
            <w:pPr>
              <w:jc w:val="center"/>
            </w:pPr>
            <w:r w:rsidRPr="00B33BD9">
              <w:t>Far (25-50 km)</w:t>
            </w:r>
          </w:p>
        </w:tc>
        <w:tc>
          <w:tcPr>
            <w:tcW w:w="2205" w:type="dxa"/>
            <w:hideMark/>
          </w:tcPr>
          <w:p w14:paraId="22BB949A" w14:textId="77777777" w:rsidR="00B33BD9" w:rsidRPr="00B33BD9" w:rsidRDefault="00B33BD9" w:rsidP="00F003CC">
            <w:pPr>
              <w:jc w:val="center"/>
            </w:pPr>
            <w:r w:rsidRPr="00B33BD9">
              <w:t>71.4 ± 6.8</w:t>
            </w:r>
          </w:p>
        </w:tc>
        <w:tc>
          <w:tcPr>
            <w:tcW w:w="0" w:type="auto"/>
            <w:hideMark/>
          </w:tcPr>
          <w:p w14:paraId="11409C82" w14:textId="77777777" w:rsidR="00B33BD9" w:rsidRPr="00B33BD9" w:rsidRDefault="00B33BD9" w:rsidP="00F003CC">
            <w:pPr>
              <w:jc w:val="center"/>
            </w:pPr>
            <w:r w:rsidRPr="00B33BD9">
              <w:t>35.8 ± 4.8</w:t>
            </w:r>
          </w:p>
        </w:tc>
        <w:tc>
          <w:tcPr>
            <w:tcW w:w="0" w:type="auto"/>
            <w:hideMark/>
          </w:tcPr>
          <w:p w14:paraId="76C0E26B" w14:textId="77777777" w:rsidR="00B33BD9" w:rsidRPr="00B33BD9" w:rsidRDefault="00B33BD9" w:rsidP="00F003CC">
            <w:pPr>
              <w:jc w:val="center"/>
            </w:pPr>
            <w:r w:rsidRPr="00B33BD9">
              <w:t>2.56 ± 0.24</w:t>
            </w:r>
          </w:p>
        </w:tc>
      </w:tr>
      <w:tr w:rsidR="00B33BD9" w:rsidRPr="00B33BD9" w14:paraId="44F4803C" w14:textId="77777777" w:rsidTr="00F003CC">
        <w:tc>
          <w:tcPr>
            <w:tcW w:w="0" w:type="auto"/>
            <w:hideMark/>
          </w:tcPr>
          <w:p w14:paraId="0357C305" w14:textId="77777777" w:rsidR="00B33BD9" w:rsidRPr="00B33BD9" w:rsidRDefault="00B33BD9" w:rsidP="00F003CC">
            <w:pPr>
              <w:jc w:val="center"/>
            </w:pPr>
            <w:r w:rsidRPr="00B33BD9">
              <w:lastRenderedPageBreak/>
              <w:t>Summer</w:t>
            </w:r>
          </w:p>
        </w:tc>
        <w:tc>
          <w:tcPr>
            <w:tcW w:w="1800" w:type="dxa"/>
            <w:hideMark/>
          </w:tcPr>
          <w:p w14:paraId="58E145DF" w14:textId="77777777" w:rsidR="00B33BD9" w:rsidRPr="00B33BD9" w:rsidRDefault="00B33BD9" w:rsidP="00F003CC">
            <w:pPr>
              <w:jc w:val="center"/>
            </w:pPr>
            <w:r w:rsidRPr="00B33BD9">
              <w:t>Near (0-10 km)</w:t>
            </w:r>
          </w:p>
        </w:tc>
        <w:tc>
          <w:tcPr>
            <w:tcW w:w="2205" w:type="dxa"/>
            <w:hideMark/>
          </w:tcPr>
          <w:p w14:paraId="5542588C" w14:textId="77777777" w:rsidR="00B33BD9" w:rsidRPr="00B33BD9" w:rsidRDefault="00B33BD9" w:rsidP="00F003CC">
            <w:pPr>
              <w:jc w:val="center"/>
            </w:pPr>
            <w:r w:rsidRPr="00B33BD9">
              <w:t>65.8 ± 9.4</w:t>
            </w:r>
          </w:p>
        </w:tc>
        <w:tc>
          <w:tcPr>
            <w:tcW w:w="0" w:type="auto"/>
            <w:hideMark/>
          </w:tcPr>
          <w:p w14:paraId="6D4BD935" w14:textId="77777777" w:rsidR="00B33BD9" w:rsidRPr="00B33BD9" w:rsidRDefault="00B33BD9" w:rsidP="00F003CC">
            <w:pPr>
              <w:jc w:val="center"/>
            </w:pPr>
            <w:r w:rsidRPr="00B33BD9">
              <w:t>32.6 ± 6.3</w:t>
            </w:r>
          </w:p>
        </w:tc>
        <w:tc>
          <w:tcPr>
            <w:tcW w:w="0" w:type="auto"/>
            <w:hideMark/>
          </w:tcPr>
          <w:p w14:paraId="11D8CB1B" w14:textId="77777777" w:rsidR="00B33BD9" w:rsidRPr="00B33BD9" w:rsidRDefault="00B33BD9" w:rsidP="00F003CC">
            <w:pPr>
              <w:jc w:val="center"/>
            </w:pPr>
            <w:r w:rsidRPr="00B33BD9">
              <w:t>2.23 ± 0.35</w:t>
            </w:r>
          </w:p>
        </w:tc>
      </w:tr>
      <w:tr w:rsidR="00B33BD9" w:rsidRPr="00B33BD9" w14:paraId="59A38198" w14:textId="77777777" w:rsidTr="00F003CC">
        <w:tc>
          <w:tcPr>
            <w:tcW w:w="0" w:type="auto"/>
            <w:hideMark/>
          </w:tcPr>
          <w:p w14:paraId="72E844D3" w14:textId="77777777" w:rsidR="00B33BD9" w:rsidRPr="00B33BD9" w:rsidRDefault="00B33BD9" w:rsidP="00F003CC">
            <w:pPr>
              <w:jc w:val="center"/>
            </w:pPr>
          </w:p>
        </w:tc>
        <w:tc>
          <w:tcPr>
            <w:tcW w:w="1800" w:type="dxa"/>
            <w:hideMark/>
          </w:tcPr>
          <w:p w14:paraId="53A55A59" w14:textId="77777777" w:rsidR="00B33BD9" w:rsidRPr="00B33BD9" w:rsidRDefault="00B33BD9" w:rsidP="00F003CC">
            <w:pPr>
              <w:jc w:val="center"/>
            </w:pPr>
            <w:r w:rsidRPr="00B33BD9">
              <w:t>Middle (10-25 km)</w:t>
            </w:r>
          </w:p>
        </w:tc>
        <w:tc>
          <w:tcPr>
            <w:tcW w:w="2205" w:type="dxa"/>
            <w:hideMark/>
          </w:tcPr>
          <w:p w14:paraId="0987E060" w14:textId="77777777" w:rsidR="00B33BD9" w:rsidRPr="00B33BD9" w:rsidRDefault="00B33BD9" w:rsidP="00F003CC">
            <w:pPr>
              <w:jc w:val="center"/>
            </w:pPr>
            <w:r w:rsidRPr="00B33BD9">
              <w:t>78.2 ± 8.1</w:t>
            </w:r>
          </w:p>
        </w:tc>
        <w:tc>
          <w:tcPr>
            <w:tcW w:w="0" w:type="auto"/>
            <w:hideMark/>
          </w:tcPr>
          <w:p w14:paraId="3CB786C3" w14:textId="77777777" w:rsidR="00B33BD9" w:rsidRPr="00B33BD9" w:rsidRDefault="00B33BD9" w:rsidP="00F003CC">
            <w:pPr>
              <w:jc w:val="center"/>
            </w:pPr>
            <w:r w:rsidRPr="00B33BD9">
              <w:t>45.7 ± 7.2</w:t>
            </w:r>
          </w:p>
        </w:tc>
        <w:tc>
          <w:tcPr>
            <w:tcW w:w="0" w:type="auto"/>
            <w:hideMark/>
          </w:tcPr>
          <w:p w14:paraId="67B9B00B" w14:textId="77777777" w:rsidR="00B33BD9" w:rsidRPr="00B33BD9" w:rsidRDefault="00B33BD9" w:rsidP="00F003CC">
            <w:pPr>
              <w:jc w:val="center"/>
            </w:pPr>
            <w:r w:rsidRPr="00B33BD9">
              <w:t>2.68 ± 0.32</w:t>
            </w:r>
          </w:p>
        </w:tc>
      </w:tr>
      <w:tr w:rsidR="00B33BD9" w:rsidRPr="00B33BD9" w14:paraId="52A35928" w14:textId="77777777" w:rsidTr="00F003CC">
        <w:tc>
          <w:tcPr>
            <w:tcW w:w="0" w:type="auto"/>
            <w:hideMark/>
          </w:tcPr>
          <w:p w14:paraId="70AF77C3" w14:textId="77777777" w:rsidR="00B33BD9" w:rsidRPr="00B33BD9" w:rsidRDefault="00B33BD9" w:rsidP="00F003CC">
            <w:pPr>
              <w:jc w:val="center"/>
            </w:pPr>
          </w:p>
        </w:tc>
        <w:tc>
          <w:tcPr>
            <w:tcW w:w="1800" w:type="dxa"/>
            <w:hideMark/>
          </w:tcPr>
          <w:p w14:paraId="169261FD" w14:textId="77777777" w:rsidR="00B33BD9" w:rsidRPr="00B33BD9" w:rsidRDefault="00B33BD9" w:rsidP="00F003CC">
            <w:pPr>
              <w:jc w:val="center"/>
            </w:pPr>
            <w:r w:rsidRPr="00B33BD9">
              <w:t>Far (25-50 km)</w:t>
            </w:r>
          </w:p>
        </w:tc>
        <w:tc>
          <w:tcPr>
            <w:tcW w:w="2205" w:type="dxa"/>
            <w:hideMark/>
          </w:tcPr>
          <w:p w14:paraId="08C5DAFD" w14:textId="77777777" w:rsidR="00B33BD9" w:rsidRPr="00B33BD9" w:rsidRDefault="00B33BD9" w:rsidP="00F003CC">
            <w:pPr>
              <w:jc w:val="center"/>
            </w:pPr>
            <w:r w:rsidRPr="00B33BD9">
              <w:t>86.5 ± 5.6</w:t>
            </w:r>
          </w:p>
        </w:tc>
        <w:tc>
          <w:tcPr>
            <w:tcW w:w="0" w:type="auto"/>
            <w:hideMark/>
          </w:tcPr>
          <w:p w14:paraId="296ED89B" w14:textId="77777777" w:rsidR="00B33BD9" w:rsidRPr="00B33BD9" w:rsidRDefault="00B33BD9" w:rsidP="00F003CC">
            <w:pPr>
              <w:jc w:val="center"/>
            </w:pPr>
            <w:r w:rsidRPr="00B33BD9">
              <w:t>58.4 ± 6.8</w:t>
            </w:r>
          </w:p>
        </w:tc>
        <w:tc>
          <w:tcPr>
            <w:tcW w:w="0" w:type="auto"/>
            <w:hideMark/>
          </w:tcPr>
          <w:p w14:paraId="1C786ABB" w14:textId="77777777" w:rsidR="00B33BD9" w:rsidRPr="00B33BD9" w:rsidRDefault="00B33BD9" w:rsidP="00F003CC">
            <w:pPr>
              <w:jc w:val="center"/>
            </w:pPr>
            <w:r w:rsidRPr="00B33BD9">
              <w:t>3.12 ± 0.26</w:t>
            </w:r>
          </w:p>
        </w:tc>
      </w:tr>
      <w:tr w:rsidR="00B33BD9" w:rsidRPr="00B33BD9" w14:paraId="46C422D2" w14:textId="77777777" w:rsidTr="00F003CC">
        <w:tc>
          <w:tcPr>
            <w:tcW w:w="0" w:type="auto"/>
            <w:hideMark/>
          </w:tcPr>
          <w:p w14:paraId="5FA02979" w14:textId="77777777" w:rsidR="00B33BD9" w:rsidRPr="00B33BD9" w:rsidRDefault="00B33BD9" w:rsidP="00F003CC">
            <w:pPr>
              <w:jc w:val="center"/>
            </w:pPr>
            <w:r w:rsidRPr="00B33BD9">
              <w:t>Autumn</w:t>
            </w:r>
          </w:p>
        </w:tc>
        <w:tc>
          <w:tcPr>
            <w:tcW w:w="1800" w:type="dxa"/>
            <w:hideMark/>
          </w:tcPr>
          <w:p w14:paraId="1E63EDE9" w14:textId="77777777" w:rsidR="00B33BD9" w:rsidRPr="00B33BD9" w:rsidRDefault="00B33BD9" w:rsidP="00F003CC">
            <w:pPr>
              <w:jc w:val="center"/>
            </w:pPr>
            <w:r w:rsidRPr="00B33BD9">
              <w:t>Near (0-10 km)</w:t>
            </w:r>
          </w:p>
        </w:tc>
        <w:tc>
          <w:tcPr>
            <w:tcW w:w="2205" w:type="dxa"/>
            <w:hideMark/>
          </w:tcPr>
          <w:p w14:paraId="7AAACD25" w14:textId="77777777" w:rsidR="00B33BD9" w:rsidRPr="00B33BD9" w:rsidRDefault="00B33BD9" w:rsidP="00F003CC">
            <w:pPr>
              <w:jc w:val="center"/>
            </w:pPr>
            <w:r w:rsidRPr="00B33BD9">
              <w:t>48.6 ± 7.9</w:t>
            </w:r>
          </w:p>
        </w:tc>
        <w:tc>
          <w:tcPr>
            <w:tcW w:w="0" w:type="auto"/>
            <w:hideMark/>
          </w:tcPr>
          <w:p w14:paraId="058D0BEA" w14:textId="77777777" w:rsidR="00B33BD9" w:rsidRPr="00B33BD9" w:rsidRDefault="00B33BD9" w:rsidP="00F003CC">
            <w:pPr>
              <w:jc w:val="center"/>
            </w:pPr>
            <w:r w:rsidRPr="00B33BD9">
              <w:t>24.3 ± 5.1</w:t>
            </w:r>
          </w:p>
        </w:tc>
        <w:tc>
          <w:tcPr>
            <w:tcW w:w="0" w:type="auto"/>
            <w:hideMark/>
          </w:tcPr>
          <w:p w14:paraId="0F0ED312" w14:textId="77777777" w:rsidR="00B33BD9" w:rsidRPr="00B33BD9" w:rsidRDefault="00B33BD9" w:rsidP="00F003CC">
            <w:pPr>
              <w:jc w:val="center"/>
            </w:pPr>
            <w:r w:rsidRPr="00B33BD9">
              <w:t>1.95 ± 0.33</w:t>
            </w:r>
          </w:p>
        </w:tc>
      </w:tr>
      <w:tr w:rsidR="00B33BD9" w:rsidRPr="00B33BD9" w14:paraId="3B35FA95" w14:textId="77777777" w:rsidTr="00F003CC">
        <w:tc>
          <w:tcPr>
            <w:tcW w:w="0" w:type="auto"/>
            <w:hideMark/>
          </w:tcPr>
          <w:p w14:paraId="6D789E7D" w14:textId="77777777" w:rsidR="00B33BD9" w:rsidRPr="00B33BD9" w:rsidRDefault="00B33BD9" w:rsidP="00F003CC">
            <w:pPr>
              <w:jc w:val="center"/>
            </w:pPr>
          </w:p>
        </w:tc>
        <w:tc>
          <w:tcPr>
            <w:tcW w:w="1800" w:type="dxa"/>
            <w:hideMark/>
          </w:tcPr>
          <w:p w14:paraId="47651733" w14:textId="77777777" w:rsidR="00B33BD9" w:rsidRPr="00B33BD9" w:rsidRDefault="00B33BD9" w:rsidP="00F003CC">
            <w:pPr>
              <w:jc w:val="center"/>
            </w:pPr>
            <w:r w:rsidRPr="00B33BD9">
              <w:t>Middle (10-25 km)</w:t>
            </w:r>
          </w:p>
        </w:tc>
        <w:tc>
          <w:tcPr>
            <w:tcW w:w="2205" w:type="dxa"/>
            <w:hideMark/>
          </w:tcPr>
          <w:p w14:paraId="0C37C7B0" w14:textId="77777777" w:rsidR="00B33BD9" w:rsidRPr="00B33BD9" w:rsidRDefault="00B33BD9" w:rsidP="00F003CC">
            <w:pPr>
              <w:jc w:val="center"/>
            </w:pPr>
            <w:r w:rsidRPr="00B33BD9">
              <w:t>64.3 ± 7.5</w:t>
            </w:r>
          </w:p>
        </w:tc>
        <w:tc>
          <w:tcPr>
            <w:tcW w:w="0" w:type="auto"/>
            <w:hideMark/>
          </w:tcPr>
          <w:p w14:paraId="52F45B57" w14:textId="77777777" w:rsidR="00B33BD9" w:rsidRPr="00B33BD9" w:rsidRDefault="00B33BD9" w:rsidP="00F003CC">
            <w:pPr>
              <w:jc w:val="center"/>
            </w:pPr>
            <w:r w:rsidRPr="00B33BD9">
              <w:t>34.8 ± 5.8</w:t>
            </w:r>
          </w:p>
        </w:tc>
        <w:tc>
          <w:tcPr>
            <w:tcW w:w="0" w:type="auto"/>
            <w:hideMark/>
          </w:tcPr>
          <w:p w14:paraId="0360FF7C" w14:textId="77777777" w:rsidR="00B33BD9" w:rsidRPr="00B33BD9" w:rsidRDefault="00B33BD9" w:rsidP="00F003CC">
            <w:pPr>
              <w:jc w:val="center"/>
            </w:pPr>
            <w:r w:rsidRPr="00B33BD9">
              <w:t>2.31 ± 0.29</w:t>
            </w:r>
          </w:p>
        </w:tc>
      </w:tr>
      <w:tr w:rsidR="00B33BD9" w:rsidRPr="00B33BD9" w14:paraId="0B5CC762" w14:textId="77777777" w:rsidTr="00F003CC">
        <w:tc>
          <w:tcPr>
            <w:tcW w:w="0" w:type="auto"/>
            <w:hideMark/>
          </w:tcPr>
          <w:p w14:paraId="20DB0B5C" w14:textId="77777777" w:rsidR="00B33BD9" w:rsidRPr="00B33BD9" w:rsidRDefault="00B33BD9" w:rsidP="00F003CC">
            <w:pPr>
              <w:jc w:val="center"/>
            </w:pPr>
          </w:p>
        </w:tc>
        <w:tc>
          <w:tcPr>
            <w:tcW w:w="1800" w:type="dxa"/>
            <w:hideMark/>
          </w:tcPr>
          <w:p w14:paraId="0E4F8B1D" w14:textId="77777777" w:rsidR="00B33BD9" w:rsidRPr="00B33BD9" w:rsidRDefault="00B33BD9" w:rsidP="00F003CC">
            <w:pPr>
              <w:jc w:val="center"/>
            </w:pPr>
            <w:r w:rsidRPr="00B33BD9">
              <w:t>Far (25-50 km)</w:t>
            </w:r>
          </w:p>
        </w:tc>
        <w:tc>
          <w:tcPr>
            <w:tcW w:w="2205" w:type="dxa"/>
            <w:hideMark/>
          </w:tcPr>
          <w:p w14:paraId="1C987DFA" w14:textId="77777777" w:rsidR="00B33BD9" w:rsidRPr="00B33BD9" w:rsidRDefault="00B33BD9" w:rsidP="00F003CC">
            <w:pPr>
              <w:jc w:val="center"/>
            </w:pPr>
            <w:r w:rsidRPr="00B33BD9">
              <w:t>75.8 ± 6.2</w:t>
            </w:r>
          </w:p>
        </w:tc>
        <w:tc>
          <w:tcPr>
            <w:tcW w:w="0" w:type="auto"/>
            <w:hideMark/>
          </w:tcPr>
          <w:p w14:paraId="21259A44" w14:textId="77777777" w:rsidR="00B33BD9" w:rsidRPr="00B33BD9" w:rsidRDefault="00B33BD9" w:rsidP="00F003CC">
            <w:pPr>
              <w:jc w:val="center"/>
            </w:pPr>
            <w:r w:rsidRPr="00B33BD9">
              <w:t>42.6 ± 5.4</w:t>
            </w:r>
          </w:p>
        </w:tc>
        <w:tc>
          <w:tcPr>
            <w:tcW w:w="0" w:type="auto"/>
            <w:hideMark/>
          </w:tcPr>
          <w:p w14:paraId="3A9BF041" w14:textId="77777777" w:rsidR="00B33BD9" w:rsidRPr="00B33BD9" w:rsidRDefault="00B33BD9" w:rsidP="00F003CC">
            <w:pPr>
              <w:jc w:val="center"/>
            </w:pPr>
            <w:r w:rsidRPr="00B33BD9">
              <w:t>2.74 ± 0.25</w:t>
            </w:r>
          </w:p>
        </w:tc>
      </w:tr>
      <w:tr w:rsidR="00B33BD9" w:rsidRPr="00B33BD9" w14:paraId="26354BB1" w14:textId="77777777" w:rsidTr="00F003CC">
        <w:tc>
          <w:tcPr>
            <w:tcW w:w="0" w:type="auto"/>
            <w:hideMark/>
          </w:tcPr>
          <w:p w14:paraId="01599EF2" w14:textId="77777777" w:rsidR="00B33BD9" w:rsidRPr="00B33BD9" w:rsidRDefault="00B33BD9" w:rsidP="00F003CC">
            <w:pPr>
              <w:jc w:val="center"/>
            </w:pPr>
            <w:r w:rsidRPr="00B33BD9">
              <w:t>Winter</w:t>
            </w:r>
          </w:p>
        </w:tc>
        <w:tc>
          <w:tcPr>
            <w:tcW w:w="1800" w:type="dxa"/>
            <w:hideMark/>
          </w:tcPr>
          <w:p w14:paraId="6633610F" w14:textId="77777777" w:rsidR="00B33BD9" w:rsidRPr="00B33BD9" w:rsidRDefault="00B33BD9" w:rsidP="00F003CC">
            <w:pPr>
              <w:jc w:val="center"/>
            </w:pPr>
            <w:r w:rsidRPr="00B33BD9">
              <w:t>Near (0-10 km)</w:t>
            </w:r>
          </w:p>
        </w:tc>
        <w:tc>
          <w:tcPr>
            <w:tcW w:w="2205" w:type="dxa"/>
            <w:hideMark/>
          </w:tcPr>
          <w:p w14:paraId="5C1F70AA" w14:textId="77777777" w:rsidR="00B33BD9" w:rsidRPr="00B33BD9" w:rsidRDefault="00B33BD9" w:rsidP="00F003CC">
            <w:pPr>
              <w:jc w:val="center"/>
            </w:pPr>
            <w:r w:rsidRPr="00B33BD9">
              <w:t>28.4 ± 6.2</w:t>
            </w:r>
          </w:p>
        </w:tc>
        <w:tc>
          <w:tcPr>
            <w:tcW w:w="0" w:type="auto"/>
            <w:hideMark/>
          </w:tcPr>
          <w:p w14:paraId="3D32047F" w14:textId="77777777" w:rsidR="00B33BD9" w:rsidRPr="00B33BD9" w:rsidRDefault="00B33BD9" w:rsidP="00F003CC">
            <w:pPr>
              <w:jc w:val="center"/>
            </w:pPr>
            <w:r w:rsidRPr="00B33BD9">
              <w:t>12.7 ± 3.6</w:t>
            </w:r>
          </w:p>
        </w:tc>
        <w:tc>
          <w:tcPr>
            <w:tcW w:w="0" w:type="auto"/>
            <w:hideMark/>
          </w:tcPr>
          <w:p w14:paraId="42E354B4" w14:textId="77777777" w:rsidR="00B33BD9" w:rsidRPr="00B33BD9" w:rsidRDefault="00B33BD9" w:rsidP="00F003CC">
            <w:pPr>
              <w:jc w:val="center"/>
            </w:pPr>
            <w:r w:rsidRPr="00B33BD9">
              <w:t>1.45 ± 0.28</w:t>
            </w:r>
          </w:p>
        </w:tc>
      </w:tr>
      <w:tr w:rsidR="00B33BD9" w:rsidRPr="00B33BD9" w14:paraId="0916C518" w14:textId="77777777" w:rsidTr="00F003CC">
        <w:tc>
          <w:tcPr>
            <w:tcW w:w="0" w:type="auto"/>
            <w:hideMark/>
          </w:tcPr>
          <w:p w14:paraId="65A59805" w14:textId="77777777" w:rsidR="00B33BD9" w:rsidRPr="00B33BD9" w:rsidRDefault="00B33BD9" w:rsidP="00F003CC">
            <w:pPr>
              <w:jc w:val="center"/>
            </w:pPr>
          </w:p>
        </w:tc>
        <w:tc>
          <w:tcPr>
            <w:tcW w:w="1800" w:type="dxa"/>
            <w:hideMark/>
          </w:tcPr>
          <w:p w14:paraId="1CC5E60A" w14:textId="77777777" w:rsidR="00B33BD9" w:rsidRPr="00B33BD9" w:rsidRDefault="00B33BD9" w:rsidP="00F003CC">
            <w:pPr>
              <w:jc w:val="center"/>
            </w:pPr>
            <w:r w:rsidRPr="00B33BD9">
              <w:t>Middle (10-25 km)</w:t>
            </w:r>
          </w:p>
        </w:tc>
        <w:tc>
          <w:tcPr>
            <w:tcW w:w="2205" w:type="dxa"/>
            <w:hideMark/>
          </w:tcPr>
          <w:p w14:paraId="6F16C886" w14:textId="77777777" w:rsidR="00B33BD9" w:rsidRPr="00B33BD9" w:rsidRDefault="00B33BD9" w:rsidP="00F003CC">
            <w:pPr>
              <w:jc w:val="center"/>
            </w:pPr>
            <w:r w:rsidRPr="00B33BD9">
              <w:t>38.6 ± 5.8</w:t>
            </w:r>
          </w:p>
        </w:tc>
        <w:tc>
          <w:tcPr>
            <w:tcW w:w="0" w:type="auto"/>
            <w:hideMark/>
          </w:tcPr>
          <w:p w14:paraId="5817B40A" w14:textId="77777777" w:rsidR="00B33BD9" w:rsidRPr="00B33BD9" w:rsidRDefault="00B33BD9" w:rsidP="00F003CC">
            <w:pPr>
              <w:jc w:val="center"/>
            </w:pPr>
            <w:r w:rsidRPr="00B33BD9">
              <w:t>18.4 ± 4.2</w:t>
            </w:r>
          </w:p>
        </w:tc>
        <w:tc>
          <w:tcPr>
            <w:tcW w:w="0" w:type="auto"/>
            <w:hideMark/>
          </w:tcPr>
          <w:p w14:paraId="2062CB1C" w14:textId="77777777" w:rsidR="00B33BD9" w:rsidRPr="00B33BD9" w:rsidRDefault="00B33BD9" w:rsidP="00F003CC">
            <w:pPr>
              <w:jc w:val="center"/>
            </w:pPr>
            <w:r w:rsidRPr="00B33BD9">
              <w:t>1.73 ± 0.25</w:t>
            </w:r>
          </w:p>
        </w:tc>
      </w:tr>
      <w:tr w:rsidR="00B33BD9" w:rsidRPr="00B33BD9" w14:paraId="7526FF55" w14:textId="77777777" w:rsidTr="00F003CC">
        <w:tc>
          <w:tcPr>
            <w:tcW w:w="0" w:type="auto"/>
            <w:hideMark/>
          </w:tcPr>
          <w:p w14:paraId="4993EDFA" w14:textId="77777777" w:rsidR="00B33BD9" w:rsidRPr="00B33BD9" w:rsidRDefault="00B33BD9" w:rsidP="00F003CC">
            <w:pPr>
              <w:jc w:val="center"/>
            </w:pPr>
          </w:p>
        </w:tc>
        <w:tc>
          <w:tcPr>
            <w:tcW w:w="1800" w:type="dxa"/>
            <w:hideMark/>
          </w:tcPr>
          <w:p w14:paraId="4B1D7BDE" w14:textId="77777777" w:rsidR="00B33BD9" w:rsidRPr="00B33BD9" w:rsidRDefault="00B33BD9" w:rsidP="00F003CC">
            <w:pPr>
              <w:jc w:val="center"/>
            </w:pPr>
            <w:r w:rsidRPr="00B33BD9">
              <w:t>Far (25-50 km)</w:t>
            </w:r>
          </w:p>
        </w:tc>
        <w:tc>
          <w:tcPr>
            <w:tcW w:w="2205" w:type="dxa"/>
            <w:hideMark/>
          </w:tcPr>
          <w:p w14:paraId="4525CAA4" w14:textId="77777777" w:rsidR="00B33BD9" w:rsidRPr="00B33BD9" w:rsidRDefault="00B33BD9" w:rsidP="00F003CC">
            <w:pPr>
              <w:jc w:val="center"/>
            </w:pPr>
            <w:r w:rsidRPr="00B33BD9">
              <w:t>52.3 ± 5.4</w:t>
            </w:r>
          </w:p>
        </w:tc>
        <w:tc>
          <w:tcPr>
            <w:tcW w:w="0" w:type="auto"/>
            <w:hideMark/>
          </w:tcPr>
          <w:p w14:paraId="55DBCAFF" w14:textId="77777777" w:rsidR="00B33BD9" w:rsidRPr="00B33BD9" w:rsidRDefault="00B33BD9" w:rsidP="00F003CC">
            <w:pPr>
              <w:jc w:val="center"/>
            </w:pPr>
            <w:r w:rsidRPr="00B33BD9">
              <w:t>24.8 ± 3.9</w:t>
            </w:r>
          </w:p>
        </w:tc>
        <w:tc>
          <w:tcPr>
            <w:tcW w:w="0" w:type="auto"/>
            <w:hideMark/>
          </w:tcPr>
          <w:p w14:paraId="6C07752C" w14:textId="38213FB1" w:rsidR="00B33BD9" w:rsidRPr="00B33BD9" w:rsidRDefault="00B33BD9" w:rsidP="00F003CC">
            <w:pPr>
              <w:jc w:val="center"/>
            </w:pPr>
            <w:r w:rsidRPr="00B33BD9">
              <w:t>2.08 ± 0.22</w:t>
            </w:r>
            <w:r>
              <w:t>.</w:t>
            </w:r>
          </w:p>
        </w:tc>
      </w:tr>
    </w:tbl>
    <w:p w14:paraId="2D3909AC" w14:textId="3F4A71FC" w:rsidR="00FC4262" w:rsidRDefault="00FC4262" w:rsidP="00FC4262">
      <w:pPr>
        <w:pStyle w:val="3"/>
      </w:pPr>
      <w:bookmarkStart w:id="0" w:name="OLE_LINK4"/>
      <w:r w:rsidRPr="00FC4262">
        <w:t>2.2 Data Collection Methods</w:t>
      </w:r>
    </w:p>
    <w:p w14:paraId="5B978D66" w14:textId="77777777" w:rsidR="003D2037" w:rsidRDefault="00523E37" w:rsidP="00523E37">
      <w:r w:rsidRPr="00523E37">
        <w:t xml:space="preserve">Multi-temporal satellite imagery was acquired from Landsat-8 OLI/TIRS and Sentinel-2 MSI sensors, providing complementary spatial and temporal coverage for comprehensive vegetation monitoring. Landsat-8 data offered 30-m spatial resolution with 16-day revisit time, while Sentinel-2 provided 10-m resolution for vegetation bands with 5-day temporal frequency. Image acquisition followed a systematic approach with </w:t>
      </w:r>
      <w:r w:rsidRPr="00523E37">
        <w:rPr>
          <w:position w:val="-6"/>
        </w:rPr>
        <w:object w:dxaOrig="1040" w:dyaOrig="279" w14:anchorId="615B0762">
          <v:shape id="_x0000_i1040" type="#_x0000_t75" style="width:52pt;height:14pt" o:ole="">
            <v:imagedata r:id="rId43" o:title=""/>
          </v:shape>
          <o:OLEObject Type="Embed" ProgID="Equation.DSMT4" ShapeID="_x0000_i1040" DrawAspect="Content" ObjectID="_1820671007" r:id="rId44"/>
        </w:object>
      </w:r>
      <w:r w:rsidRPr="00523E37">
        <w:t xml:space="preserve"> scenes per year, where 4 represents seasonal coverage and 12 represents monthly composites. Preprocessing procedures included radiometric calibration using </w:t>
      </w:r>
    </w:p>
    <w:p w14:paraId="24AF0DA7" w14:textId="0753A8AA" w:rsidR="003D2037" w:rsidRDefault="003D2037" w:rsidP="003D2037">
      <w:pPr>
        <w:pStyle w:val="MTDisplayEquation"/>
      </w:pPr>
      <w:r>
        <w:tab/>
      </w:r>
      <w:r w:rsidRPr="003D2037">
        <w:rPr>
          <w:position w:val="-12"/>
        </w:rPr>
        <w:object w:dxaOrig="1900" w:dyaOrig="360" w14:anchorId="32B5BD51">
          <v:shape id="_x0000_i1041" type="#_x0000_t75" style="width:95pt;height:18pt" o:ole="">
            <v:imagedata r:id="rId45" o:title=""/>
          </v:shape>
          <o:OLEObject Type="Embed" ProgID="Equation.DSMT4" ShapeID="_x0000_i1041" DrawAspect="Content" ObjectID="_1820671008" r:id="rId4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4</w:instrText>
        </w:r>
      </w:fldSimple>
      <w:r>
        <w:instrText>)</w:instrText>
      </w:r>
      <w:r>
        <w:fldChar w:fldCharType="end"/>
      </w:r>
    </w:p>
    <w:p w14:paraId="346FFAD8" w14:textId="5B3EBE72" w:rsidR="00523E37" w:rsidRPr="00523E37" w:rsidRDefault="00523E37" w:rsidP="00523E37">
      <w:r w:rsidRPr="00523E37">
        <w:t xml:space="preserve">where </w:t>
      </w:r>
      <w:r w:rsidRPr="00523E37">
        <w:rPr>
          <w:position w:val="-12"/>
        </w:rPr>
        <w:object w:dxaOrig="300" w:dyaOrig="360" w14:anchorId="1413B1AB">
          <v:shape id="_x0000_i1042" type="#_x0000_t75" style="width:15pt;height:18pt" o:ole="">
            <v:imagedata r:id="rId47" o:title=""/>
          </v:shape>
          <o:OLEObject Type="Embed" ProgID="Equation.DSMT4" ShapeID="_x0000_i1042" DrawAspect="Content" ObjectID="_1820671009" r:id="rId48"/>
        </w:object>
      </w:r>
      <w:r w:rsidRPr="00523E37">
        <w:t xml:space="preserve"> is spectral radiance, </w:t>
      </w:r>
      <w:r w:rsidRPr="00523E37">
        <w:rPr>
          <w:position w:val="-12"/>
        </w:rPr>
        <w:object w:dxaOrig="400" w:dyaOrig="360" w14:anchorId="0477AC0B">
          <v:shape id="_x0000_i1043" type="#_x0000_t75" style="width:20pt;height:18pt" o:ole="">
            <v:imagedata r:id="rId49" o:title=""/>
          </v:shape>
          <o:OLEObject Type="Embed" ProgID="Equation.DSMT4" ShapeID="_x0000_i1043" DrawAspect="Content" ObjectID="_1820671010" r:id="rId50"/>
        </w:object>
      </w:r>
      <w:r w:rsidRPr="00523E37">
        <w:t xml:space="preserve"> is band-specific multiplicative rescaling factor, </w:t>
      </w:r>
      <w:r w:rsidRPr="00523E37">
        <w:rPr>
          <w:position w:val="-12"/>
        </w:rPr>
        <w:object w:dxaOrig="420" w:dyaOrig="360" w14:anchorId="4E8CF526">
          <v:shape id="_x0000_i1044" type="#_x0000_t75" style="width:21pt;height:18pt" o:ole="">
            <v:imagedata r:id="rId51" o:title=""/>
          </v:shape>
          <o:OLEObject Type="Embed" ProgID="Equation.DSMT4" ShapeID="_x0000_i1044" DrawAspect="Content" ObjectID="_1820671011" r:id="rId52"/>
        </w:object>
      </w:r>
      <w:r w:rsidRPr="00523E37">
        <w:t xml:space="preserve"> is quantized calibrated pixel value, and </w:t>
      </w:r>
      <w:r w:rsidRPr="00523E37">
        <w:rPr>
          <w:position w:val="-12"/>
        </w:rPr>
        <w:object w:dxaOrig="320" w:dyaOrig="360" w14:anchorId="0F645E43">
          <v:shape id="_x0000_i1045" type="#_x0000_t75" style="width:16pt;height:18pt" o:ole="">
            <v:imagedata r:id="rId53" o:title=""/>
          </v:shape>
          <o:OLEObject Type="Embed" ProgID="Equation.DSMT4" ShapeID="_x0000_i1045" DrawAspect="Content" ObjectID="_1820671012" r:id="rId54"/>
        </w:object>
      </w:r>
      <w:r w:rsidRPr="00523E37">
        <w:t xml:space="preserve"> is additive rescaling factor. Atmospheric correction was performed using the 6S algorithm to derive surface reflectance values essential for vegetation index calculations.</w:t>
      </w:r>
    </w:p>
    <w:p w14:paraId="46F6F4F4" w14:textId="7A109A37" w:rsidR="00523E37" w:rsidRPr="00523E37" w:rsidRDefault="00523E37" w:rsidP="00523E37">
      <w:r w:rsidRPr="00523E37">
        <w:t xml:space="preserve">Ground truth data collection followed a stratified random sampling protocol with 108 permanent plots established across the study area. Vegetation surveys were conducted quarterly using 30×30 m plots aligned with Landsat pixels, with species composition, coverage, and biomass measured using the quadrat method. Plot locations were recorded using differential GPS with accuracy </w:t>
      </w:r>
      <w:r w:rsidRPr="00523E37">
        <w:rPr>
          <w:position w:val="-12"/>
        </w:rPr>
        <w:object w:dxaOrig="1040" w:dyaOrig="360" w14:anchorId="10873B0B">
          <v:shape id="_x0000_i1046" type="#_x0000_t75" style="width:52pt;height:18pt" o:ole="">
            <v:imagedata r:id="rId55" o:title=""/>
          </v:shape>
          <o:OLEObject Type="Embed" ProgID="Equation.DSMT4" ShapeID="_x0000_i1046" DrawAspect="Content" ObjectID="_1820671013" r:id="rId56"/>
        </w:object>
      </w:r>
      <w:r w:rsidRPr="00523E37">
        <w:t xml:space="preserve"> m, ensuring precise geo-referencing with satellite imagery. The seasonal field campaign schedule presented in Table 2 was synchronized with satellite overpasses to minimize temporal discrepancies between ground and remote observations.</w:t>
      </w:r>
    </w:p>
    <w:p w14:paraId="0B200F3C" w14:textId="77777777" w:rsidR="00523E37" w:rsidRPr="00523E37" w:rsidRDefault="00523E37" w:rsidP="00523E37">
      <w:pPr>
        <w:jc w:val="center"/>
      </w:pPr>
      <w:r w:rsidRPr="00523E37">
        <w:rPr>
          <w:b/>
          <w:bCs/>
        </w:rPr>
        <w:t>Table 2.</w:t>
      </w:r>
      <w:r w:rsidRPr="00523E37">
        <w:t xml:space="preserve"> Seasonal field survey schedule and sampling parameters</w:t>
      </w:r>
    </w:p>
    <w:tbl>
      <w:tblPr>
        <w:tblStyle w:val="11"/>
        <w:tblW w:w="0" w:type="auto"/>
        <w:tblLook w:val="04A0" w:firstRow="1" w:lastRow="0" w:firstColumn="1" w:lastColumn="0" w:noHBand="0" w:noVBand="1"/>
      </w:tblPr>
      <w:tblGrid>
        <w:gridCol w:w="894"/>
        <w:gridCol w:w="1800"/>
        <w:gridCol w:w="1559"/>
        <w:gridCol w:w="2551"/>
        <w:gridCol w:w="1502"/>
      </w:tblGrid>
      <w:tr w:rsidR="00523E37" w:rsidRPr="00523E37" w14:paraId="2671C3C0" w14:textId="77777777" w:rsidTr="00523E37">
        <w:trPr>
          <w:cnfStyle w:val="100000000000" w:firstRow="1" w:lastRow="0" w:firstColumn="0" w:lastColumn="0" w:oddVBand="0" w:evenVBand="0" w:oddHBand="0" w:evenHBand="0" w:firstRowFirstColumn="0" w:firstRowLastColumn="0" w:lastRowFirstColumn="0" w:lastRowLastColumn="0"/>
        </w:trPr>
        <w:tc>
          <w:tcPr>
            <w:tcW w:w="0" w:type="auto"/>
            <w:hideMark/>
          </w:tcPr>
          <w:p w14:paraId="67F5150F" w14:textId="77777777" w:rsidR="00523E37" w:rsidRPr="00523E37" w:rsidRDefault="00523E37" w:rsidP="00523E37">
            <w:pPr>
              <w:jc w:val="center"/>
              <w:rPr>
                <w:b/>
                <w:bCs/>
              </w:rPr>
            </w:pPr>
            <w:r w:rsidRPr="00523E37">
              <w:rPr>
                <w:b/>
                <w:bCs/>
              </w:rPr>
              <w:t>Season</w:t>
            </w:r>
          </w:p>
        </w:tc>
        <w:tc>
          <w:tcPr>
            <w:tcW w:w="1800" w:type="dxa"/>
            <w:hideMark/>
          </w:tcPr>
          <w:p w14:paraId="4035DD5B" w14:textId="77777777" w:rsidR="00523E37" w:rsidRPr="00523E37" w:rsidRDefault="00523E37" w:rsidP="00523E37">
            <w:pPr>
              <w:jc w:val="center"/>
              <w:rPr>
                <w:b/>
                <w:bCs/>
              </w:rPr>
            </w:pPr>
            <w:r w:rsidRPr="00523E37">
              <w:rPr>
                <w:b/>
                <w:bCs/>
              </w:rPr>
              <w:t>Survey Period</w:t>
            </w:r>
          </w:p>
        </w:tc>
        <w:tc>
          <w:tcPr>
            <w:tcW w:w="1559" w:type="dxa"/>
            <w:hideMark/>
          </w:tcPr>
          <w:p w14:paraId="6D79BE07" w14:textId="77777777" w:rsidR="00523E37" w:rsidRPr="00523E37" w:rsidRDefault="00523E37" w:rsidP="00523E37">
            <w:pPr>
              <w:jc w:val="center"/>
              <w:rPr>
                <w:b/>
                <w:bCs/>
              </w:rPr>
            </w:pPr>
            <w:r w:rsidRPr="00523E37">
              <w:rPr>
                <w:b/>
                <w:bCs/>
              </w:rPr>
              <w:t>Plots Sampled</w:t>
            </w:r>
          </w:p>
        </w:tc>
        <w:tc>
          <w:tcPr>
            <w:tcW w:w="2551" w:type="dxa"/>
            <w:hideMark/>
          </w:tcPr>
          <w:p w14:paraId="727C07CE" w14:textId="77777777" w:rsidR="00523E37" w:rsidRPr="00523E37" w:rsidRDefault="00523E37" w:rsidP="00523E37">
            <w:pPr>
              <w:jc w:val="center"/>
              <w:rPr>
                <w:b/>
                <w:bCs/>
              </w:rPr>
            </w:pPr>
            <w:r w:rsidRPr="00523E37">
              <w:rPr>
                <w:b/>
                <w:bCs/>
              </w:rPr>
              <w:t>Parameters Measured</w:t>
            </w:r>
          </w:p>
        </w:tc>
        <w:tc>
          <w:tcPr>
            <w:tcW w:w="1502" w:type="dxa"/>
            <w:hideMark/>
          </w:tcPr>
          <w:p w14:paraId="1B444E05" w14:textId="77777777" w:rsidR="00523E37" w:rsidRPr="00523E37" w:rsidRDefault="00523E37" w:rsidP="00523E37">
            <w:pPr>
              <w:jc w:val="center"/>
              <w:rPr>
                <w:b/>
                <w:bCs/>
              </w:rPr>
            </w:pPr>
            <w:r w:rsidRPr="00523E37">
              <w:rPr>
                <w:b/>
                <w:bCs/>
              </w:rPr>
              <w:t>Satellite Sync Window</w:t>
            </w:r>
          </w:p>
        </w:tc>
      </w:tr>
      <w:tr w:rsidR="00523E37" w:rsidRPr="00523E37" w14:paraId="27C62516" w14:textId="77777777" w:rsidTr="00523E37">
        <w:tc>
          <w:tcPr>
            <w:tcW w:w="0" w:type="auto"/>
            <w:hideMark/>
          </w:tcPr>
          <w:p w14:paraId="756F5D7C" w14:textId="77777777" w:rsidR="00523E37" w:rsidRPr="00523E37" w:rsidRDefault="00523E37" w:rsidP="00523E37">
            <w:pPr>
              <w:jc w:val="center"/>
            </w:pPr>
            <w:r w:rsidRPr="00523E37">
              <w:t>Spring</w:t>
            </w:r>
          </w:p>
        </w:tc>
        <w:tc>
          <w:tcPr>
            <w:tcW w:w="1800" w:type="dxa"/>
            <w:hideMark/>
          </w:tcPr>
          <w:p w14:paraId="4C625BDA" w14:textId="77777777" w:rsidR="00523E37" w:rsidRPr="00523E37" w:rsidRDefault="00523E37" w:rsidP="00523E37">
            <w:pPr>
              <w:jc w:val="center"/>
            </w:pPr>
            <w:r w:rsidRPr="00523E37">
              <w:t>April 15-30</w:t>
            </w:r>
          </w:p>
        </w:tc>
        <w:tc>
          <w:tcPr>
            <w:tcW w:w="1559" w:type="dxa"/>
            <w:hideMark/>
          </w:tcPr>
          <w:p w14:paraId="746A9322" w14:textId="77777777" w:rsidR="00523E37" w:rsidRPr="00523E37" w:rsidRDefault="00523E37" w:rsidP="00523E37">
            <w:pPr>
              <w:jc w:val="center"/>
            </w:pPr>
            <w:r w:rsidRPr="00523E37">
              <w:t>108</w:t>
            </w:r>
          </w:p>
        </w:tc>
        <w:tc>
          <w:tcPr>
            <w:tcW w:w="2551" w:type="dxa"/>
            <w:hideMark/>
          </w:tcPr>
          <w:p w14:paraId="379B707E" w14:textId="77777777" w:rsidR="00523E37" w:rsidRPr="00523E37" w:rsidRDefault="00523E37" w:rsidP="00523E37">
            <w:pPr>
              <w:jc w:val="center"/>
            </w:pPr>
            <w:r w:rsidRPr="00523E37">
              <w:t>Coverage, Height, LAI</w:t>
            </w:r>
          </w:p>
        </w:tc>
        <w:tc>
          <w:tcPr>
            <w:tcW w:w="0" w:type="auto"/>
            <w:hideMark/>
          </w:tcPr>
          <w:p w14:paraId="61377667" w14:textId="77777777" w:rsidR="00523E37" w:rsidRPr="00523E37" w:rsidRDefault="00523E37" w:rsidP="00523E37">
            <w:pPr>
              <w:jc w:val="center"/>
            </w:pPr>
            <w:r w:rsidRPr="00523E37">
              <w:t>±3 days</w:t>
            </w:r>
          </w:p>
        </w:tc>
      </w:tr>
      <w:tr w:rsidR="00523E37" w:rsidRPr="00523E37" w14:paraId="084C02FA" w14:textId="77777777" w:rsidTr="00523E37">
        <w:tc>
          <w:tcPr>
            <w:tcW w:w="0" w:type="auto"/>
            <w:hideMark/>
          </w:tcPr>
          <w:p w14:paraId="77898465" w14:textId="77777777" w:rsidR="00523E37" w:rsidRPr="00523E37" w:rsidRDefault="00523E37" w:rsidP="00523E37">
            <w:pPr>
              <w:jc w:val="center"/>
            </w:pPr>
            <w:r w:rsidRPr="00523E37">
              <w:t>Summer</w:t>
            </w:r>
          </w:p>
        </w:tc>
        <w:tc>
          <w:tcPr>
            <w:tcW w:w="1800" w:type="dxa"/>
            <w:hideMark/>
          </w:tcPr>
          <w:p w14:paraId="71A91ADD" w14:textId="77777777" w:rsidR="00523E37" w:rsidRPr="00523E37" w:rsidRDefault="00523E37" w:rsidP="00523E37">
            <w:pPr>
              <w:jc w:val="center"/>
            </w:pPr>
            <w:r w:rsidRPr="00523E37">
              <w:t>July 15-31</w:t>
            </w:r>
          </w:p>
        </w:tc>
        <w:tc>
          <w:tcPr>
            <w:tcW w:w="1559" w:type="dxa"/>
            <w:hideMark/>
          </w:tcPr>
          <w:p w14:paraId="7F787A01" w14:textId="77777777" w:rsidR="00523E37" w:rsidRPr="00523E37" w:rsidRDefault="00523E37" w:rsidP="00523E37">
            <w:pPr>
              <w:jc w:val="center"/>
            </w:pPr>
            <w:r w:rsidRPr="00523E37">
              <w:t>108</w:t>
            </w:r>
          </w:p>
        </w:tc>
        <w:tc>
          <w:tcPr>
            <w:tcW w:w="2551" w:type="dxa"/>
            <w:hideMark/>
          </w:tcPr>
          <w:p w14:paraId="4BED83F4" w14:textId="77777777" w:rsidR="00523E37" w:rsidRPr="00523E37" w:rsidRDefault="00523E37" w:rsidP="00523E37">
            <w:pPr>
              <w:jc w:val="center"/>
            </w:pPr>
            <w:r w:rsidRPr="00523E37">
              <w:t>Biomass, Coverage, Species</w:t>
            </w:r>
          </w:p>
        </w:tc>
        <w:tc>
          <w:tcPr>
            <w:tcW w:w="0" w:type="auto"/>
            <w:hideMark/>
          </w:tcPr>
          <w:p w14:paraId="71EC10C3" w14:textId="77777777" w:rsidR="00523E37" w:rsidRPr="00523E37" w:rsidRDefault="00523E37" w:rsidP="00523E37">
            <w:pPr>
              <w:jc w:val="center"/>
            </w:pPr>
            <w:r w:rsidRPr="00523E37">
              <w:t>±3 days</w:t>
            </w:r>
          </w:p>
        </w:tc>
      </w:tr>
      <w:tr w:rsidR="00523E37" w:rsidRPr="00523E37" w14:paraId="588B939F" w14:textId="77777777" w:rsidTr="00523E37">
        <w:tc>
          <w:tcPr>
            <w:tcW w:w="0" w:type="auto"/>
            <w:hideMark/>
          </w:tcPr>
          <w:p w14:paraId="671AE74B" w14:textId="77777777" w:rsidR="00523E37" w:rsidRPr="00523E37" w:rsidRDefault="00523E37" w:rsidP="00523E37">
            <w:pPr>
              <w:jc w:val="center"/>
            </w:pPr>
            <w:r w:rsidRPr="00523E37">
              <w:t>Autumn</w:t>
            </w:r>
          </w:p>
        </w:tc>
        <w:tc>
          <w:tcPr>
            <w:tcW w:w="1800" w:type="dxa"/>
            <w:hideMark/>
          </w:tcPr>
          <w:p w14:paraId="0E28041D" w14:textId="77777777" w:rsidR="00523E37" w:rsidRPr="00523E37" w:rsidRDefault="00523E37" w:rsidP="00523E37">
            <w:pPr>
              <w:jc w:val="center"/>
            </w:pPr>
            <w:r w:rsidRPr="00523E37">
              <w:t>October 10-25</w:t>
            </w:r>
          </w:p>
        </w:tc>
        <w:tc>
          <w:tcPr>
            <w:tcW w:w="1559" w:type="dxa"/>
            <w:hideMark/>
          </w:tcPr>
          <w:p w14:paraId="3032742C" w14:textId="77777777" w:rsidR="00523E37" w:rsidRPr="00523E37" w:rsidRDefault="00523E37" w:rsidP="00523E37">
            <w:pPr>
              <w:jc w:val="center"/>
            </w:pPr>
            <w:r w:rsidRPr="00523E37">
              <w:t>108</w:t>
            </w:r>
          </w:p>
        </w:tc>
        <w:tc>
          <w:tcPr>
            <w:tcW w:w="2551" w:type="dxa"/>
            <w:hideMark/>
          </w:tcPr>
          <w:p w14:paraId="1A9F9933" w14:textId="77777777" w:rsidR="00523E37" w:rsidRPr="00523E37" w:rsidRDefault="00523E37" w:rsidP="00523E37">
            <w:pPr>
              <w:jc w:val="center"/>
            </w:pPr>
            <w:r w:rsidRPr="00523E37">
              <w:t>Coverage, Senescence, LAI</w:t>
            </w:r>
          </w:p>
        </w:tc>
        <w:tc>
          <w:tcPr>
            <w:tcW w:w="0" w:type="auto"/>
            <w:hideMark/>
          </w:tcPr>
          <w:p w14:paraId="77C4EB80" w14:textId="77777777" w:rsidR="00523E37" w:rsidRPr="00523E37" w:rsidRDefault="00523E37" w:rsidP="00523E37">
            <w:pPr>
              <w:jc w:val="center"/>
            </w:pPr>
            <w:r w:rsidRPr="00523E37">
              <w:t>±3 days</w:t>
            </w:r>
          </w:p>
        </w:tc>
      </w:tr>
      <w:tr w:rsidR="00523E37" w:rsidRPr="00523E37" w14:paraId="55E6913E" w14:textId="77777777" w:rsidTr="00523E37">
        <w:tc>
          <w:tcPr>
            <w:tcW w:w="0" w:type="auto"/>
            <w:hideMark/>
          </w:tcPr>
          <w:p w14:paraId="7DAB19FE" w14:textId="77777777" w:rsidR="00523E37" w:rsidRPr="00523E37" w:rsidRDefault="00523E37" w:rsidP="00523E37">
            <w:pPr>
              <w:jc w:val="center"/>
            </w:pPr>
            <w:r w:rsidRPr="00523E37">
              <w:t>Winter</w:t>
            </w:r>
          </w:p>
        </w:tc>
        <w:tc>
          <w:tcPr>
            <w:tcW w:w="1800" w:type="dxa"/>
            <w:hideMark/>
          </w:tcPr>
          <w:p w14:paraId="2811204F" w14:textId="77777777" w:rsidR="00523E37" w:rsidRPr="00523E37" w:rsidRDefault="00523E37" w:rsidP="00523E37">
            <w:pPr>
              <w:jc w:val="center"/>
            </w:pPr>
            <w:r w:rsidRPr="00523E37">
              <w:t>January 10-25</w:t>
            </w:r>
          </w:p>
        </w:tc>
        <w:tc>
          <w:tcPr>
            <w:tcW w:w="1559" w:type="dxa"/>
            <w:hideMark/>
          </w:tcPr>
          <w:p w14:paraId="34113411" w14:textId="77777777" w:rsidR="00523E37" w:rsidRPr="00523E37" w:rsidRDefault="00523E37" w:rsidP="00523E37">
            <w:pPr>
              <w:jc w:val="center"/>
            </w:pPr>
            <w:r w:rsidRPr="00523E37">
              <w:t>54</w:t>
            </w:r>
          </w:p>
        </w:tc>
        <w:tc>
          <w:tcPr>
            <w:tcW w:w="2551" w:type="dxa"/>
            <w:hideMark/>
          </w:tcPr>
          <w:p w14:paraId="130740F4" w14:textId="77777777" w:rsidR="00523E37" w:rsidRPr="00523E37" w:rsidRDefault="00523E37" w:rsidP="00523E37">
            <w:pPr>
              <w:jc w:val="center"/>
            </w:pPr>
            <w:r w:rsidRPr="00523E37">
              <w:t>Coverage, Dormancy Status</w:t>
            </w:r>
          </w:p>
        </w:tc>
        <w:tc>
          <w:tcPr>
            <w:tcW w:w="0" w:type="auto"/>
            <w:hideMark/>
          </w:tcPr>
          <w:p w14:paraId="18537CC7" w14:textId="79D8CC27" w:rsidR="00523E37" w:rsidRPr="00523E37" w:rsidRDefault="00523E37" w:rsidP="00523E37">
            <w:pPr>
              <w:jc w:val="center"/>
            </w:pPr>
            <w:r w:rsidRPr="00523E37">
              <w:t>±5 days</w:t>
            </w:r>
            <w:r>
              <w:t>.</w:t>
            </w:r>
          </w:p>
        </w:tc>
      </w:tr>
    </w:tbl>
    <w:p w14:paraId="3F44B905" w14:textId="1629629A" w:rsidR="00FC4262" w:rsidRDefault="00FC4262" w:rsidP="00FC4262">
      <w:pPr>
        <w:pStyle w:val="3"/>
      </w:pPr>
      <w:bookmarkStart w:id="1" w:name="OLE_LINK5"/>
      <w:bookmarkEnd w:id="0"/>
      <w:r w:rsidRPr="00FC4262">
        <w:t>2.3 Vegetation Indices Calculation</w:t>
      </w:r>
    </w:p>
    <w:p w14:paraId="1E72765E" w14:textId="77777777" w:rsidR="003D2037" w:rsidRDefault="00E417E7" w:rsidP="00E417E7">
      <w:r w:rsidRPr="00E417E7">
        <w:t xml:space="preserve">Vegetation coverage was calculated using the pixel dichotomy model: </w:t>
      </w:r>
    </w:p>
    <w:p w14:paraId="60E91457" w14:textId="2B33AB96" w:rsidR="003D2037" w:rsidRDefault="003D2037" w:rsidP="003D2037">
      <w:pPr>
        <w:pStyle w:val="MTDisplayEquation"/>
      </w:pPr>
      <w:r>
        <w:lastRenderedPageBreak/>
        <w:tab/>
      </w:r>
      <w:r w:rsidRPr="003D2037">
        <w:rPr>
          <w:position w:val="-14"/>
        </w:rPr>
        <w:object w:dxaOrig="5179" w:dyaOrig="380" w14:anchorId="6AA1D0C7">
          <v:shape id="_x0000_i1047" type="#_x0000_t75" style="width:258.5pt;height:19pt" o:ole="">
            <v:imagedata r:id="rId57" o:title=""/>
          </v:shape>
          <o:OLEObject Type="Embed" ProgID="Equation.DSMT4" ShapeID="_x0000_i1047" DrawAspect="Content" ObjectID="_1820671014" r:id="rId58"/>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5</w:instrText>
        </w:r>
      </w:fldSimple>
      <w:r>
        <w:instrText>)</w:instrText>
      </w:r>
      <w:r>
        <w:fldChar w:fldCharType="end"/>
      </w:r>
    </w:p>
    <w:p w14:paraId="24B9BF3C" w14:textId="723626B2" w:rsidR="00E417E7" w:rsidRPr="00E417E7" w:rsidRDefault="003D2037" w:rsidP="00E417E7">
      <w:r>
        <w:t>w</w:t>
      </w:r>
      <w:r w:rsidR="00E417E7" w:rsidRPr="00E417E7">
        <w:t xml:space="preserve">here </w:t>
      </w:r>
      <w:r w:rsidR="00E417E7" w:rsidRPr="00E417E7">
        <w:rPr>
          <w:position w:val="-6"/>
        </w:rPr>
        <w:object w:dxaOrig="240" w:dyaOrig="279" w14:anchorId="7E5D836D">
          <v:shape id="_x0000_i1048" type="#_x0000_t75" style="width:12pt;height:14pt" o:ole="">
            <v:imagedata r:id="rId59" o:title=""/>
          </v:shape>
          <o:OLEObject Type="Embed" ProgID="Equation.DSMT4" ShapeID="_x0000_i1048" DrawAspect="Content" ObjectID="_1820671015" r:id="rId60"/>
        </w:object>
      </w:r>
      <w:r w:rsidR="00E417E7" w:rsidRPr="00E417E7">
        <w:t xml:space="preserve"> represents fractional vegetation coverage, </w:t>
      </w:r>
      <w:r w:rsidR="00E417E7" w:rsidRPr="00E417E7">
        <w:rPr>
          <w:position w:val="-12"/>
        </w:rPr>
        <w:object w:dxaOrig="880" w:dyaOrig="360" w14:anchorId="1F7CC73C">
          <v:shape id="_x0000_i1049" type="#_x0000_t75" style="width:44pt;height:18pt" o:ole="">
            <v:imagedata r:id="rId61" o:title=""/>
          </v:shape>
          <o:OLEObject Type="Embed" ProgID="Equation.DSMT4" ShapeID="_x0000_i1049" DrawAspect="Content" ObjectID="_1820671016" r:id="rId62"/>
        </w:object>
      </w:r>
      <w:r w:rsidR="00E417E7" w:rsidRPr="00E417E7">
        <w:t xml:space="preserve"> is the bare soil value (5th percentile), and </w:t>
      </w:r>
      <w:r w:rsidR="00E417E7" w:rsidRPr="00E417E7">
        <w:rPr>
          <w:position w:val="-14"/>
        </w:rPr>
        <w:object w:dxaOrig="859" w:dyaOrig="380" w14:anchorId="28EB260E">
          <v:shape id="_x0000_i1050" type="#_x0000_t75" style="width:42.5pt;height:19pt" o:ole="">
            <v:imagedata r:id="rId63" o:title=""/>
          </v:shape>
          <o:OLEObject Type="Embed" ProgID="Equation.DSMT4" ShapeID="_x0000_i1050" DrawAspect="Content" ObjectID="_1820671017" r:id="rId64"/>
        </w:object>
      </w:r>
      <w:r w:rsidR="00E417E7" w:rsidRPr="00E417E7">
        <w:t xml:space="preserve"> is the dense vegetation value (95th percentile). Seasonal adjustments were applied with spring thresholds of </w:t>
      </w:r>
      <w:r w:rsidR="00E417E7" w:rsidRPr="00E417E7">
        <w:rPr>
          <w:position w:val="-12"/>
        </w:rPr>
        <w:object w:dxaOrig="1560" w:dyaOrig="360" w14:anchorId="2198A5B4">
          <v:shape id="_x0000_i1051" type="#_x0000_t75" style="width:78pt;height:18pt" o:ole="">
            <v:imagedata r:id="rId65" o:title=""/>
          </v:shape>
          <o:OLEObject Type="Embed" ProgID="Equation.DSMT4" ShapeID="_x0000_i1051" DrawAspect="Content" ObjectID="_1820671018" r:id="rId66"/>
        </w:object>
      </w:r>
      <w:r w:rsidR="00E417E7" w:rsidRPr="00E417E7">
        <w:t xml:space="preserve"> and </w:t>
      </w:r>
      <w:r w:rsidR="00E417E7" w:rsidRPr="00E417E7">
        <w:rPr>
          <w:position w:val="-14"/>
        </w:rPr>
        <w:object w:dxaOrig="1540" w:dyaOrig="380" w14:anchorId="0775C60C">
          <v:shape id="_x0000_i1052" type="#_x0000_t75" style="width:77pt;height:19pt" o:ole="">
            <v:imagedata r:id="rId67" o:title=""/>
          </v:shape>
          <o:OLEObject Type="Embed" ProgID="Equation.DSMT4" ShapeID="_x0000_i1052" DrawAspect="Content" ObjectID="_1820671019" r:id="rId68"/>
        </w:object>
      </w:r>
      <w:r w:rsidR="00E417E7" w:rsidRPr="00E417E7">
        <w:t>, summer values of 0.05 and 0.82, autumn values of 0.10 and 0.65, and winter values of 0.12 and 0.45, reflecting phenological variations.</w:t>
      </w:r>
    </w:p>
    <w:p w14:paraId="5DB41CC1" w14:textId="77777777" w:rsidR="003D2037" w:rsidRDefault="00E417E7" w:rsidP="00E417E7">
      <w:r w:rsidRPr="00E417E7">
        <w:t xml:space="preserve">Biomass estimation followed the allometric equation </w:t>
      </w:r>
    </w:p>
    <w:p w14:paraId="1E94AE14" w14:textId="1A2F09C0" w:rsidR="003D2037" w:rsidRDefault="003D2037" w:rsidP="003D2037">
      <w:pPr>
        <w:pStyle w:val="MTDisplayEquation"/>
      </w:pPr>
      <w:r>
        <w:tab/>
      </w:r>
      <w:r w:rsidRPr="003D2037">
        <w:rPr>
          <w:position w:val="-6"/>
        </w:rPr>
        <w:object w:dxaOrig="2020" w:dyaOrig="320" w14:anchorId="11980274">
          <v:shape id="_x0000_i1053" type="#_x0000_t75" style="width:101pt;height:16pt" o:ole="">
            <v:imagedata r:id="rId69" o:title=""/>
          </v:shape>
          <o:OLEObject Type="Embed" ProgID="Equation.DSMT4" ShapeID="_x0000_i1053" DrawAspect="Content" ObjectID="_1820671020" r:id="rId7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6</w:instrText>
        </w:r>
      </w:fldSimple>
      <w:r>
        <w:instrText>)</w:instrText>
      </w:r>
      <w:r>
        <w:fldChar w:fldCharType="end"/>
      </w:r>
    </w:p>
    <w:p w14:paraId="709298C9" w14:textId="77777777" w:rsidR="003D2037" w:rsidRDefault="00E417E7" w:rsidP="00E417E7">
      <w:r w:rsidRPr="00E417E7">
        <w:t xml:space="preserve">where </w:t>
      </w:r>
      <w:r w:rsidRPr="00025957">
        <w:rPr>
          <w:position w:val="-4"/>
        </w:rPr>
        <w:object w:dxaOrig="240" w:dyaOrig="260" w14:anchorId="5E665995">
          <v:shape id="_x0000_i1054" type="#_x0000_t75" style="width:12pt;height:13pt" o:ole="">
            <v:imagedata r:id="rId71" o:title=""/>
          </v:shape>
          <o:OLEObject Type="Embed" ProgID="Equation.DSMT4" ShapeID="_x0000_i1054" DrawAspect="Content" ObjectID="_1820671021" r:id="rId72"/>
        </w:object>
      </w:r>
      <w:r w:rsidRPr="00E417E7">
        <w:t xml:space="preserve"> is aboveground biomass (t/ha), </w:t>
      </w:r>
      <w:r w:rsidRPr="00025957">
        <w:rPr>
          <w:position w:val="-4"/>
        </w:rPr>
        <w:object w:dxaOrig="220" w:dyaOrig="260" w14:anchorId="14E7B843">
          <v:shape id="_x0000_i1055" type="#_x0000_t75" style="width:11pt;height:13pt" o:ole="">
            <v:imagedata r:id="rId73" o:title=""/>
          </v:shape>
          <o:OLEObject Type="Embed" ProgID="Equation.DSMT4" ShapeID="_x0000_i1055" DrawAspect="Content" ObjectID="_1820671022" r:id="rId74"/>
        </w:object>
      </w:r>
      <w:r w:rsidRPr="00E417E7">
        <w:t xml:space="preserve"> is seasonal temperature correction factor, and coefficients </w:t>
      </w:r>
      <w:r w:rsidRPr="00E417E7">
        <w:rPr>
          <w:position w:val="-6"/>
        </w:rPr>
        <w:object w:dxaOrig="200" w:dyaOrig="220" w14:anchorId="624F9B45">
          <v:shape id="_x0000_i1056" type="#_x0000_t75" style="width:10pt;height:11pt" o:ole="">
            <v:imagedata r:id="rId75" o:title=""/>
          </v:shape>
          <o:OLEObject Type="Embed" ProgID="Equation.DSMT4" ShapeID="_x0000_i1056" DrawAspect="Content" ObjectID="_1820671023" r:id="rId76"/>
        </w:object>
      </w:r>
      <w:r w:rsidRPr="00E417E7">
        <w:t xml:space="preserve">, </w:t>
      </w:r>
      <w:r w:rsidRPr="00E417E7">
        <w:rPr>
          <w:position w:val="-6"/>
        </w:rPr>
        <w:object w:dxaOrig="200" w:dyaOrig="279" w14:anchorId="14444CC3">
          <v:shape id="_x0000_i1057" type="#_x0000_t75" style="width:10pt;height:14pt" o:ole="">
            <v:imagedata r:id="rId77" o:title=""/>
          </v:shape>
          <o:OLEObject Type="Embed" ProgID="Equation.DSMT4" ShapeID="_x0000_i1057" DrawAspect="Content" ObjectID="_1820671024" r:id="rId78"/>
        </w:object>
      </w:r>
      <w:r w:rsidRPr="00E417E7">
        <w:t xml:space="preserve">, </w:t>
      </w:r>
      <w:r w:rsidRPr="00E417E7">
        <w:rPr>
          <w:position w:val="-6"/>
        </w:rPr>
        <w:object w:dxaOrig="180" w:dyaOrig="220" w14:anchorId="05921A7F">
          <v:shape id="_x0000_i1058" type="#_x0000_t75" style="width:9pt;height:11pt" o:ole="">
            <v:imagedata r:id="rId79" o:title=""/>
          </v:shape>
          <o:OLEObject Type="Embed" ProgID="Equation.DSMT4" ShapeID="_x0000_i1058" DrawAspect="Content" ObjectID="_1820671025" r:id="rId80"/>
        </w:object>
      </w:r>
      <w:r w:rsidRPr="00E417E7">
        <w:t xml:space="preserve"> were calibrated using field measurements yielding </w:t>
      </w:r>
      <w:r w:rsidRPr="00E417E7">
        <w:rPr>
          <w:position w:val="-6"/>
        </w:rPr>
        <w:object w:dxaOrig="960" w:dyaOrig="279" w14:anchorId="0C88FD48">
          <v:shape id="_x0000_i1059" type="#_x0000_t75" style="width:48pt;height:14pt" o:ole="">
            <v:imagedata r:id="rId81" o:title=""/>
          </v:shape>
          <o:OLEObject Type="Embed" ProgID="Equation.DSMT4" ShapeID="_x0000_i1059" DrawAspect="Content" ObjectID="_1820671026" r:id="rId82"/>
        </w:object>
      </w:r>
      <w:r w:rsidRPr="00E417E7">
        <w:t xml:space="preserve">, </w:t>
      </w:r>
      <w:r w:rsidRPr="00E417E7">
        <w:rPr>
          <w:position w:val="-6"/>
        </w:rPr>
        <w:object w:dxaOrig="859" w:dyaOrig="279" w14:anchorId="25E212A7">
          <v:shape id="_x0000_i1060" type="#_x0000_t75" style="width:42.5pt;height:14pt" o:ole="">
            <v:imagedata r:id="rId83" o:title=""/>
          </v:shape>
          <o:OLEObject Type="Embed" ProgID="Equation.DSMT4" ShapeID="_x0000_i1060" DrawAspect="Content" ObjectID="_1820671027" r:id="rId84"/>
        </w:object>
      </w:r>
      <w:r w:rsidRPr="00E417E7">
        <w:t xml:space="preserve">, and </w:t>
      </w:r>
      <w:r w:rsidRPr="00E417E7">
        <w:rPr>
          <w:position w:val="-6"/>
        </w:rPr>
        <w:object w:dxaOrig="960" w:dyaOrig="279" w14:anchorId="3DB8372A">
          <v:shape id="_x0000_i1061" type="#_x0000_t75" style="width:48pt;height:14pt" o:ole="">
            <v:imagedata r:id="rId85" o:title=""/>
          </v:shape>
          <o:OLEObject Type="Embed" ProgID="Equation.DSMT4" ShapeID="_x0000_i1061" DrawAspect="Content" ObjectID="_1820671028" r:id="rId86"/>
        </w:object>
      </w:r>
      <w:r w:rsidRPr="00E417E7">
        <w:t xml:space="preserve">. Species diversity was quantified using Shannon-Wiener index </w:t>
      </w:r>
    </w:p>
    <w:p w14:paraId="628EBB5A" w14:textId="39F4D694" w:rsidR="003D2037" w:rsidRDefault="003D2037" w:rsidP="003D2037">
      <w:pPr>
        <w:pStyle w:val="MTDisplayEquation"/>
      </w:pPr>
      <w:r>
        <w:tab/>
      </w:r>
      <w:r w:rsidRPr="003D2037">
        <w:rPr>
          <w:position w:val="-28"/>
        </w:rPr>
        <w:object w:dxaOrig="1820" w:dyaOrig="680" w14:anchorId="51466EAA">
          <v:shape id="_x0000_i1062" type="#_x0000_t75" style="width:91pt;height:34pt" o:ole="">
            <v:imagedata r:id="rId87" o:title=""/>
          </v:shape>
          <o:OLEObject Type="Embed" ProgID="Equation.DSMT4" ShapeID="_x0000_i1062" DrawAspect="Content" ObjectID="_1820671029" r:id="rId88"/>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7</w:instrText>
        </w:r>
      </w:fldSimple>
      <w:r>
        <w:instrText>)</w:instrText>
      </w:r>
      <w:r>
        <w:fldChar w:fldCharType="end"/>
      </w:r>
    </w:p>
    <w:p w14:paraId="5DD9EF92" w14:textId="77777777" w:rsidR="003D2037" w:rsidRDefault="00E417E7" w:rsidP="00E417E7">
      <w:r w:rsidRPr="00E417E7">
        <w:t xml:space="preserve">where </w:t>
      </w:r>
      <w:r w:rsidRPr="00E417E7">
        <w:rPr>
          <w:position w:val="-6"/>
        </w:rPr>
        <w:object w:dxaOrig="220" w:dyaOrig="279" w14:anchorId="7016C795">
          <v:shape id="_x0000_i1063" type="#_x0000_t75" style="width:11pt;height:14pt" o:ole="">
            <v:imagedata r:id="rId89" o:title=""/>
          </v:shape>
          <o:OLEObject Type="Embed" ProgID="Equation.DSMT4" ShapeID="_x0000_i1063" DrawAspect="Content" ObjectID="_1820671030" r:id="rId90"/>
        </w:object>
      </w:r>
      <w:r w:rsidRPr="00E417E7">
        <w:t xml:space="preserve"> is species </w:t>
      </w:r>
      <w:proofErr w:type="gramStart"/>
      <w:r w:rsidRPr="00E417E7">
        <w:t>richness</w:t>
      </w:r>
      <w:proofErr w:type="gramEnd"/>
      <w:r w:rsidRPr="00E417E7">
        <w:t xml:space="preserve"> and </w:t>
      </w:r>
      <w:r w:rsidRPr="00E417E7">
        <w:rPr>
          <w:position w:val="-12"/>
        </w:rPr>
        <w:object w:dxaOrig="260" w:dyaOrig="360" w14:anchorId="3AE814F1">
          <v:shape id="_x0000_i1064" type="#_x0000_t75" style="width:13pt;height:18pt" o:ole="">
            <v:imagedata r:id="rId91" o:title=""/>
          </v:shape>
          <o:OLEObject Type="Embed" ProgID="Equation.DSMT4" ShapeID="_x0000_i1064" DrawAspect="Content" ObjectID="_1820671031" r:id="rId92"/>
        </w:object>
      </w:r>
      <w:r w:rsidRPr="00E417E7">
        <w:t xml:space="preserve"> is the relative abundance of species </w:t>
      </w:r>
      <w:r w:rsidRPr="00E417E7">
        <w:rPr>
          <w:position w:val="-6"/>
        </w:rPr>
        <w:object w:dxaOrig="139" w:dyaOrig="260" w14:anchorId="54B83126">
          <v:shape id="_x0000_i1065" type="#_x0000_t75" style="width:6.5pt;height:13pt" o:ole="">
            <v:imagedata r:id="rId93" o:title=""/>
          </v:shape>
          <o:OLEObject Type="Embed" ProgID="Equation.DSMT4" ShapeID="_x0000_i1065" DrawAspect="Content" ObjectID="_1820671032" r:id="rId94"/>
        </w:object>
      </w:r>
      <w:r w:rsidRPr="00E417E7">
        <w:t xml:space="preserve">. Seasonal variations in diversity were assessed through </w:t>
      </w:r>
    </w:p>
    <w:p w14:paraId="06595282" w14:textId="00522EF2" w:rsidR="003D2037" w:rsidRDefault="003D2037" w:rsidP="003D2037">
      <w:pPr>
        <w:pStyle w:val="MTDisplayEquation"/>
      </w:pPr>
      <w:r>
        <w:tab/>
      </w:r>
      <w:r w:rsidRPr="003D2037">
        <w:rPr>
          <w:position w:val="-10"/>
        </w:rPr>
        <w:object w:dxaOrig="4920" w:dyaOrig="320" w14:anchorId="1D0AA9C4">
          <v:shape id="_x0000_i1066" type="#_x0000_t75" style="width:246pt;height:16pt" o:ole="">
            <v:imagedata r:id="rId95" o:title=""/>
          </v:shape>
          <o:OLEObject Type="Embed" ProgID="Equation.DSMT4" ShapeID="_x0000_i1066" DrawAspect="Content" ObjectID="_1820671033" r:id="rId9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8</w:instrText>
        </w:r>
      </w:fldSimple>
      <w:r>
        <w:instrText>)</w:instrText>
      </w:r>
      <w:r>
        <w:fldChar w:fldCharType="end"/>
      </w:r>
    </w:p>
    <w:p w14:paraId="04EA18FF" w14:textId="3C429F86" w:rsidR="00E417E7" w:rsidRPr="00E417E7" w:rsidRDefault="00E417E7" w:rsidP="00E417E7">
      <w:r w:rsidRPr="00E417E7">
        <w:t xml:space="preserve">where </w:t>
      </w:r>
      <w:r w:rsidRPr="00E417E7">
        <w:rPr>
          <w:position w:val="-6"/>
        </w:rPr>
        <w:object w:dxaOrig="220" w:dyaOrig="279" w14:anchorId="2AF45FE6">
          <v:shape id="_x0000_i1067" type="#_x0000_t75" style="width:11pt;height:14pt" o:ole="">
            <v:imagedata r:id="rId97" o:title=""/>
          </v:shape>
          <o:OLEObject Type="Embed" ProgID="Equation.DSMT4" ShapeID="_x0000_i1067" DrawAspect="Content" ObjectID="_1820671034" r:id="rId98"/>
        </w:object>
      </w:r>
      <w:r w:rsidRPr="00E417E7">
        <w:t xml:space="preserve"> is day of year and </w:t>
      </w:r>
      <w:r w:rsidRPr="00E417E7">
        <w:rPr>
          <w:position w:val="-6"/>
        </w:rPr>
        <w:object w:dxaOrig="880" w:dyaOrig="279" w14:anchorId="383FE271">
          <v:shape id="_x0000_i1068" type="#_x0000_t75" style="width:44pt;height:14pt" o:ole="">
            <v:imagedata r:id="rId99" o:title=""/>
          </v:shape>
          <o:OLEObject Type="Embed" ProgID="Equation.DSMT4" ShapeID="_x0000_i1068" DrawAspect="Content" ObjectID="_1820671035" r:id="rId100"/>
        </w:object>
      </w:r>
      <w:r w:rsidRPr="00E417E7">
        <w:t xml:space="preserve"> represents seasonal amplitude. Table 3 presents the seasonal calibration parameters for each vegetation index.</w:t>
      </w:r>
    </w:p>
    <w:p w14:paraId="23CDAAF5" w14:textId="77777777" w:rsidR="00E417E7" w:rsidRPr="00E417E7" w:rsidRDefault="00E417E7" w:rsidP="00E417E7">
      <w:pPr>
        <w:jc w:val="center"/>
      </w:pPr>
      <w:r w:rsidRPr="00E417E7">
        <w:rPr>
          <w:b/>
          <w:bCs/>
        </w:rPr>
        <w:t>Table 3.</w:t>
      </w:r>
      <w:r w:rsidRPr="00E417E7">
        <w:t xml:space="preserve"> Seasonal calibration parameters for vegetation indices</w:t>
      </w:r>
    </w:p>
    <w:tbl>
      <w:tblPr>
        <w:tblStyle w:val="11"/>
        <w:tblW w:w="0" w:type="auto"/>
        <w:jc w:val="center"/>
        <w:tblLook w:val="04A0" w:firstRow="1" w:lastRow="0" w:firstColumn="1" w:lastColumn="0" w:noHBand="0" w:noVBand="1"/>
      </w:tblPr>
      <w:tblGrid>
        <w:gridCol w:w="894"/>
        <w:gridCol w:w="1955"/>
        <w:gridCol w:w="2035"/>
        <w:gridCol w:w="1610"/>
      </w:tblGrid>
      <w:tr w:rsidR="00E417E7" w:rsidRPr="00E417E7" w14:paraId="71A12CCF" w14:textId="77777777" w:rsidTr="00E417E7">
        <w:trPr>
          <w:cnfStyle w:val="100000000000" w:firstRow="1" w:lastRow="0" w:firstColumn="0" w:lastColumn="0" w:oddVBand="0" w:evenVBand="0" w:oddHBand="0" w:evenHBand="0" w:firstRowFirstColumn="0" w:firstRowLastColumn="0" w:lastRowFirstColumn="0" w:lastRowLastColumn="0"/>
          <w:jc w:val="center"/>
        </w:trPr>
        <w:tc>
          <w:tcPr>
            <w:tcW w:w="0" w:type="auto"/>
            <w:hideMark/>
          </w:tcPr>
          <w:p w14:paraId="242434F3" w14:textId="77777777" w:rsidR="00E417E7" w:rsidRPr="00E417E7" w:rsidRDefault="00E417E7" w:rsidP="00E417E7">
            <w:pPr>
              <w:jc w:val="center"/>
              <w:rPr>
                <w:b/>
                <w:bCs/>
              </w:rPr>
            </w:pPr>
            <w:r w:rsidRPr="00E417E7">
              <w:rPr>
                <w:b/>
                <w:bCs/>
              </w:rPr>
              <w:t>Season</w:t>
            </w:r>
          </w:p>
        </w:tc>
        <w:tc>
          <w:tcPr>
            <w:tcW w:w="0" w:type="auto"/>
            <w:hideMark/>
          </w:tcPr>
          <w:p w14:paraId="1C100DBE" w14:textId="77777777" w:rsidR="00E417E7" w:rsidRPr="00E417E7" w:rsidRDefault="00E417E7" w:rsidP="00E417E7">
            <w:pPr>
              <w:jc w:val="center"/>
              <w:rPr>
                <w:b/>
                <w:bCs/>
              </w:rPr>
            </w:pPr>
            <w:r w:rsidRPr="00E417E7">
              <w:rPr>
                <w:b/>
                <w:bCs/>
              </w:rPr>
              <w:t>Coverage Threshold</w:t>
            </w:r>
          </w:p>
        </w:tc>
        <w:tc>
          <w:tcPr>
            <w:tcW w:w="0" w:type="auto"/>
            <w:hideMark/>
          </w:tcPr>
          <w:p w14:paraId="2EEC0618" w14:textId="77777777" w:rsidR="00E417E7" w:rsidRPr="00E417E7" w:rsidRDefault="00E417E7" w:rsidP="00E417E7">
            <w:pPr>
              <w:jc w:val="center"/>
              <w:rPr>
                <w:b/>
                <w:bCs/>
              </w:rPr>
            </w:pPr>
            <w:r w:rsidRPr="00E417E7">
              <w:rPr>
                <w:b/>
                <w:bCs/>
              </w:rPr>
              <w:t>Biomass Coefficient</w:t>
            </w:r>
          </w:p>
        </w:tc>
        <w:tc>
          <w:tcPr>
            <w:tcW w:w="0" w:type="auto"/>
            <w:hideMark/>
          </w:tcPr>
          <w:p w14:paraId="2FB298EB" w14:textId="77777777" w:rsidR="00E417E7" w:rsidRPr="00E417E7" w:rsidRDefault="00E417E7" w:rsidP="00E417E7">
            <w:pPr>
              <w:jc w:val="center"/>
              <w:rPr>
                <w:b/>
                <w:bCs/>
              </w:rPr>
            </w:pPr>
            <w:r w:rsidRPr="00E417E7">
              <w:rPr>
                <w:b/>
                <w:bCs/>
              </w:rPr>
              <w:t>Diversity Factor</w:t>
            </w:r>
          </w:p>
        </w:tc>
      </w:tr>
      <w:tr w:rsidR="00E417E7" w:rsidRPr="00E417E7" w14:paraId="4E0BA6A8" w14:textId="77777777" w:rsidTr="00E417E7">
        <w:trPr>
          <w:jc w:val="center"/>
        </w:trPr>
        <w:tc>
          <w:tcPr>
            <w:tcW w:w="0" w:type="auto"/>
            <w:hideMark/>
          </w:tcPr>
          <w:p w14:paraId="4F40FF4E" w14:textId="77777777" w:rsidR="00E417E7" w:rsidRPr="00E417E7" w:rsidRDefault="00E417E7" w:rsidP="00E417E7">
            <w:pPr>
              <w:jc w:val="center"/>
            </w:pPr>
            <w:r w:rsidRPr="00E417E7">
              <w:t>Spring</w:t>
            </w:r>
          </w:p>
        </w:tc>
        <w:tc>
          <w:tcPr>
            <w:tcW w:w="0" w:type="auto"/>
            <w:hideMark/>
          </w:tcPr>
          <w:p w14:paraId="0B8F21CA" w14:textId="77777777" w:rsidR="00E417E7" w:rsidRPr="00E417E7" w:rsidRDefault="00E417E7" w:rsidP="00E417E7">
            <w:pPr>
              <w:jc w:val="center"/>
            </w:pPr>
            <w:r w:rsidRPr="00E417E7">
              <w:t>0.08-0.68</w:t>
            </w:r>
          </w:p>
        </w:tc>
        <w:tc>
          <w:tcPr>
            <w:tcW w:w="0" w:type="auto"/>
            <w:hideMark/>
          </w:tcPr>
          <w:p w14:paraId="0D0FFCAE" w14:textId="3C390136" w:rsidR="00E417E7" w:rsidRPr="00E417E7" w:rsidRDefault="00E417E7" w:rsidP="00E417E7">
            <w:pPr>
              <w:jc w:val="center"/>
            </w:pPr>
            <w:r w:rsidRPr="00E417E7">
              <w:rPr>
                <w:rFonts w:cstheme="minorBidi"/>
                <w:kern w:val="2"/>
                <w:position w:val="-10"/>
                <w:sz w:val="21"/>
                <w:szCs w:val="22"/>
              </w:rPr>
              <w:object w:dxaOrig="1820" w:dyaOrig="320" w14:anchorId="6642DDAF">
                <v:shape id="_x0000_i1069" type="#_x0000_t75" style="width:91pt;height:16pt" o:ole="">
                  <v:imagedata r:id="rId101" o:title=""/>
                </v:shape>
                <o:OLEObject Type="Embed" ProgID="Equation.DSMT4" ShapeID="_x0000_i1069" DrawAspect="Content" ObjectID="_1820671036" r:id="rId102"/>
              </w:object>
            </w:r>
          </w:p>
        </w:tc>
        <w:tc>
          <w:tcPr>
            <w:tcW w:w="0" w:type="auto"/>
            <w:hideMark/>
          </w:tcPr>
          <w:p w14:paraId="395D5ED3" w14:textId="27CFC7A7" w:rsidR="00E417E7" w:rsidRPr="00E417E7" w:rsidRDefault="00E417E7" w:rsidP="00E417E7">
            <w:pPr>
              <w:jc w:val="center"/>
            </w:pPr>
            <w:r w:rsidRPr="00E417E7">
              <w:rPr>
                <w:rFonts w:cstheme="minorBidi"/>
                <w:kern w:val="2"/>
                <w:position w:val="-6"/>
                <w:sz w:val="21"/>
                <w:szCs w:val="22"/>
              </w:rPr>
              <w:object w:dxaOrig="880" w:dyaOrig="279" w14:anchorId="554061B9">
                <v:shape id="_x0000_i1070" type="#_x0000_t75" style="width:44pt;height:14pt" o:ole="">
                  <v:imagedata r:id="rId103" o:title=""/>
                </v:shape>
                <o:OLEObject Type="Embed" ProgID="Equation.DSMT4" ShapeID="_x0000_i1070" DrawAspect="Content" ObjectID="_1820671037" r:id="rId104"/>
              </w:object>
            </w:r>
          </w:p>
        </w:tc>
      </w:tr>
      <w:tr w:rsidR="00E417E7" w:rsidRPr="00E417E7" w14:paraId="31B0B475" w14:textId="77777777" w:rsidTr="00E417E7">
        <w:trPr>
          <w:jc w:val="center"/>
        </w:trPr>
        <w:tc>
          <w:tcPr>
            <w:tcW w:w="0" w:type="auto"/>
            <w:hideMark/>
          </w:tcPr>
          <w:p w14:paraId="30056B5A" w14:textId="77777777" w:rsidR="00E417E7" w:rsidRPr="00E417E7" w:rsidRDefault="00E417E7" w:rsidP="00E417E7">
            <w:pPr>
              <w:jc w:val="center"/>
            </w:pPr>
            <w:r w:rsidRPr="00E417E7">
              <w:t>Summer</w:t>
            </w:r>
          </w:p>
        </w:tc>
        <w:tc>
          <w:tcPr>
            <w:tcW w:w="0" w:type="auto"/>
            <w:hideMark/>
          </w:tcPr>
          <w:p w14:paraId="5AF419E2" w14:textId="77777777" w:rsidR="00E417E7" w:rsidRPr="00E417E7" w:rsidRDefault="00E417E7" w:rsidP="00E417E7">
            <w:pPr>
              <w:jc w:val="center"/>
            </w:pPr>
            <w:r w:rsidRPr="00E417E7">
              <w:t>0.05-0.82</w:t>
            </w:r>
          </w:p>
        </w:tc>
        <w:tc>
          <w:tcPr>
            <w:tcW w:w="0" w:type="auto"/>
            <w:hideMark/>
          </w:tcPr>
          <w:p w14:paraId="6191EA29" w14:textId="250B66BD" w:rsidR="00E417E7" w:rsidRPr="00E417E7" w:rsidRDefault="00E417E7" w:rsidP="00E417E7">
            <w:pPr>
              <w:jc w:val="center"/>
            </w:pPr>
            <w:r w:rsidRPr="00E417E7">
              <w:rPr>
                <w:rFonts w:cstheme="minorBidi"/>
                <w:kern w:val="2"/>
                <w:position w:val="-10"/>
                <w:sz w:val="21"/>
                <w:szCs w:val="22"/>
              </w:rPr>
              <w:object w:dxaOrig="1820" w:dyaOrig="320" w14:anchorId="46F10C28">
                <v:shape id="_x0000_i1071" type="#_x0000_t75" style="width:91pt;height:16pt" o:ole="">
                  <v:imagedata r:id="rId105" o:title=""/>
                </v:shape>
                <o:OLEObject Type="Embed" ProgID="Equation.DSMT4" ShapeID="_x0000_i1071" DrawAspect="Content" ObjectID="_1820671038" r:id="rId106"/>
              </w:object>
            </w:r>
          </w:p>
        </w:tc>
        <w:tc>
          <w:tcPr>
            <w:tcW w:w="0" w:type="auto"/>
            <w:hideMark/>
          </w:tcPr>
          <w:p w14:paraId="35D118C9" w14:textId="7EA19BC0" w:rsidR="00E417E7" w:rsidRPr="00E417E7" w:rsidRDefault="00E417E7" w:rsidP="00E417E7">
            <w:pPr>
              <w:jc w:val="center"/>
            </w:pPr>
            <w:r w:rsidRPr="00E417E7">
              <w:rPr>
                <w:rFonts w:cstheme="minorBidi"/>
                <w:kern w:val="2"/>
                <w:position w:val="-6"/>
                <w:sz w:val="21"/>
                <w:szCs w:val="22"/>
              </w:rPr>
              <w:object w:dxaOrig="900" w:dyaOrig="279" w14:anchorId="78C319CF">
                <v:shape id="_x0000_i1072" type="#_x0000_t75" style="width:45pt;height:14pt" o:ole="">
                  <v:imagedata r:id="rId107" o:title=""/>
                </v:shape>
                <o:OLEObject Type="Embed" ProgID="Equation.DSMT4" ShapeID="_x0000_i1072" DrawAspect="Content" ObjectID="_1820671039" r:id="rId108"/>
              </w:object>
            </w:r>
          </w:p>
        </w:tc>
      </w:tr>
      <w:tr w:rsidR="00E417E7" w:rsidRPr="00E417E7" w14:paraId="4485CC30" w14:textId="77777777" w:rsidTr="00E417E7">
        <w:trPr>
          <w:jc w:val="center"/>
        </w:trPr>
        <w:tc>
          <w:tcPr>
            <w:tcW w:w="0" w:type="auto"/>
            <w:hideMark/>
          </w:tcPr>
          <w:p w14:paraId="6307B362" w14:textId="77777777" w:rsidR="00E417E7" w:rsidRPr="00E417E7" w:rsidRDefault="00E417E7" w:rsidP="00E417E7">
            <w:pPr>
              <w:jc w:val="center"/>
            </w:pPr>
            <w:r w:rsidRPr="00E417E7">
              <w:t>Autumn</w:t>
            </w:r>
          </w:p>
        </w:tc>
        <w:tc>
          <w:tcPr>
            <w:tcW w:w="0" w:type="auto"/>
            <w:hideMark/>
          </w:tcPr>
          <w:p w14:paraId="3979B05C" w14:textId="77777777" w:rsidR="00E417E7" w:rsidRPr="00E417E7" w:rsidRDefault="00E417E7" w:rsidP="00E417E7">
            <w:pPr>
              <w:jc w:val="center"/>
            </w:pPr>
            <w:r w:rsidRPr="00E417E7">
              <w:t>0.10-0.65</w:t>
            </w:r>
          </w:p>
        </w:tc>
        <w:tc>
          <w:tcPr>
            <w:tcW w:w="0" w:type="auto"/>
            <w:hideMark/>
          </w:tcPr>
          <w:p w14:paraId="0C6F99A2" w14:textId="6AC411C7" w:rsidR="00E417E7" w:rsidRPr="00E417E7" w:rsidRDefault="00E417E7" w:rsidP="00E417E7">
            <w:pPr>
              <w:jc w:val="center"/>
            </w:pPr>
            <w:r w:rsidRPr="00E417E7">
              <w:rPr>
                <w:rFonts w:cstheme="minorBidi"/>
                <w:kern w:val="2"/>
                <w:position w:val="-10"/>
                <w:sz w:val="21"/>
                <w:szCs w:val="22"/>
              </w:rPr>
              <w:object w:dxaOrig="1719" w:dyaOrig="320" w14:anchorId="546D70B1">
                <v:shape id="_x0000_i1073" type="#_x0000_t75" style="width:86pt;height:16pt" o:ole="">
                  <v:imagedata r:id="rId109" o:title=""/>
                </v:shape>
                <o:OLEObject Type="Embed" ProgID="Equation.DSMT4" ShapeID="_x0000_i1073" DrawAspect="Content" ObjectID="_1820671040" r:id="rId110"/>
              </w:object>
            </w:r>
          </w:p>
        </w:tc>
        <w:tc>
          <w:tcPr>
            <w:tcW w:w="0" w:type="auto"/>
            <w:hideMark/>
          </w:tcPr>
          <w:p w14:paraId="30659805" w14:textId="03AD53D9" w:rsidR="00E417E7" w:rsidRPr="00E417E7" w:rsidRDefault="00E417E7" w:rsidP="00E417E7">
            <w:pPr>
              <w:jc w:val="center"/>
            </w:pPr>
            <w:r w:rsidRPr="00E417E7">
              <w:rPr>
                <w:rFonts w:cstheme="minorBidi"/>
                <w:kern w:val="2"/>
                <w:position w:val="-6"/>
                <w:sz w:val="21"/>
                <w:szCs w:val="22"/>
              </w:rPr>
              <w:object w:dxaOrig="900" w:dyaOrig="279" w14:anchorId="65996F8E">
                <v:shape id="_x0000_i1074" type="#_x0000_t75" style="width:45pt;height:14pt" o:ole="">
                  <v:imagedata r:id="rId111" o:title=""/>
                </v:shape>
                <o:OLEObject Type="Embed" ProgID="Equation.DSMT4" ShapeID="_x0000_i1074" DrawAspect="Content" ObjectID="_1820671041" r:id="rId112"/>
              </w:object>
            </w:r>
          </w:p>
        </w:tc>
      </w:tr>
      <w:tr w:rsidR="00E417E7" w:rsidRPr="00E417E7" w14:paraId="163D5985" w14:textId="77777777" w:rsidTr="00E417E7">
        <w:trPr>
          <w:jc w:val="center"/>
        </w:trPr>
        <w:tc>
          <w:tcPr>
            <w:tcW w:w="0" w:type="auto"/>
            <w:hideMark/>
          </w:tcPr>
          <w:p w14:paraId="5BF71524" w14:textId="77777777" w:rsidR="00E417E7" w:rsidRPr="00E417E7" w:rsidRDefault="00E417E7" w:rsidP="00E417E7">
            <w:pPr>
              <w:jc w:val="center"/>
            </w:pPr>
            <w:r w:rsidRPr="00E417E7">
              <w:t>Winter</w:t>
            </w:r>
          </w:p>
        </w:tc>
        <w:tc>
          <w:tcPr>
            <w:tcW w:w="0" w:type="auto"/>
            <w:hideMark/>
          </w:tcPr>
          <w:p w14:paraId="30F2FFC3" w14:textId="77777777" w:rsidR="00E417E7" w:rsidRPr="00E417E7" w:rsidRDefault="00E417E7" w:rsidP="00E417E7">
            <w:pPr>
              <w:jc w:val="center"/>
            </w:pPr>
            <w:r w:rsidRPr="00E417E7">
              <w:t>0.12-0.45</w:t>
            </w:r>
          </w:p>
        </w:tc>
        <w:tc>
          <w:tcPr>
            <w:tcW w:w="0" w:type="auto"/>
            <w:hideMark/>
          </w:tcPr>
          <w:p w14:paraId="754AB514" w14:textId="0CA82684" w:rsidR="00E417E7" w:rsidRPr="00E417E7" w:rsidRDefault="00E417E7" w:rsidP="00E417E7">
            <w:pPr>
              <w:jc w:val="center"/>
            </w:pPr>
            <w:r w:rsidRPr="00E417E7">
              <w:rPr>
                <w:rFonts w:cstheme="minorBidi"/>
                <w:kern w:val="2"/>
                <w:position w:val="-10"/>
                <w:sz w:val="21"/>
                <w:szCs w:val="22"/>
              </w:rPr>
              <w:object w:dxaOrig="1700" w:dyaOrig="320" w14:anchorId="2EA5042A">
                <v:shape id="_x0000_i1075" type="#_x0000_t75" style="width:85pt;height:16pt" o:ole="">
                  <v:imagedata r:id="rId113" o:title=""/>
                </v:shape>
                <o:OLEObject Type="Embed" ProgID="Equation.DSMT4" ShapeID="_x0000_i1075" DrawAspect="Content" ObjectID="_1820671042" r:id="rId114"/>
              </w:object>
            </w:r>
          </w:p>
        </w:tc>
        <w:tc>
          <w:tcPr>
            <w:tcW w:w="0" w:type="auto"/>
            <w:hideMark/>
          </w:tcPr>
          <w:p w14:paraId="4E11A6EB" w14:textId="1302CAAB" w:rsidR="00E417E7" w:rsidRPr="00E417E7" w:rsidRDefault="00E417E7" w:rsidP="00E417E7">
            <w:pPr>
              <w:jc w:val="center"/>
            </w:pPr>
            <w:r w:rsidRPr="00E417E7">
              <w:rPr>
                <w:rFonts w:cstheme="minorBidi"/>
                <w:kern w:val="2"/>
                <w:position w:val="-6"/>
                <w:sz w:val="21"/>
                <w:szCs w:val="22"/>
              </w:rPr>
              <w:object w:dxaOrig="880" w:dyaOrig="279" w14:anchorId="7AB8F8E9">
                <v:shape id="_x0000_i1076" type="#_x0000_t75" style="width:44pt;height:14pt" o:ole="">
                  <v:imagedata r:id="rId115" o:title=""/>
                </v:shape>
                <o:OLEObject Type="Embed" ProgID="Equation.DSMT4" ShapeID="_x0000_i1076" DrawAspect="Content" ObjectID="_1820671043" r:id="rId116"/>
              </w:object>
            </w:r>
            <w:r>
              <w:t>.</w:t>
            </w:r>
          </w:p>
        </w:tc>
      </w:tr>
    </w:tbl>
    <w:p w14:paraId="6BC01B3E" w14:textId="435153F3" w:rsidR="00FC4262" w:rsidRDefault="00FC4262" w:rsidP="00FC4262">
      <w:pPr>
        <w:pStyle w:val="3"/>
      </w:pPr>
      <w:bookmarkStart w:id="2" w:name="OLE_LINK7"/>
      <w:bookmarkEnd w:id="1"/>
      <w:r w:rsidRPr="00FC4262">
        <w:t>2.4 Data Analysis Framework</w:t>
      </w:r>
    </w:p>
    <w:p w14:paraId="7E3E8638" w14:textId="77777777" w:rsidR="003D2037" w:rsidRDefault="00E417E7" w:rsidP="00E417E7">
      <w:r w:rsidRPr="00E417E7">
        <w:t xml:space="preserve">Temporal analysis of vegetation dynamics employed the additive seasonal decomposition model: </w:t>
      </w:r>
    </w:p>
    <w:p w14:paraId="5FF2801F" w14:textId="7D80D005" w:rsidR="003D2037" w:rsidRDefault="003D2037" w:rsidP="003D2037">
      <w:pPr>
        <w:pStyle w:val="MTDisplayEquation"/>
      </w:pPr>
      <w:r>
        <w:tab/>
      </w:r>
      <w:r w:rsidRPr="003D2037">
        <w:rPr>
          <w:position w:val="-12"/>
        </w:rPr>
        <w:object w:dxaOrig="1480" w:dyaOrig="360" w14:anchorId="0FC51470">
          <v:shape id="_x0000_i1077" type="#_x0000_t75" style="width:74pt;height:18pt" o:ole="">
            <v:imagedata r:id="rId117" o:title=""/>
          </v:shape>
          <o:OLEObject Type="Embed" ProgID="Equation.DSMT4" ShapeID="_x0000_i1077" DrawAspect="Content" ObjectID="_1820671044" r:id="rId118"/>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9</w:instrText>
        </w:r>
      </w:fldSimple>
      <w:r>
        <w:instrText>)</w:instrText>
      </w:r>
      <w:r>
        <w:fldChar w:fldCharType="end"/>
      </w:r>
    </w:p>
    <w:p w14:paraId="38BE4F7B" w14:textId="77777777" w:rsidR="003D2037" w:rsidRDefault="00E417E7" w:rsidP="00E417E7">
      <w:r w:rsidRPr="00E417E7">
        <w:t xml:space="preserve">where </w:t>
      </w:r>
      <w:r w:rsidRPr="00E417E7">
        <w:rPr>
          <w:position w:val="-12"/>
        </w:rPr>
        <w:object w:dxaOrig="220" w:dyaOrig="360" w14:anchorId="03870707">
          <v:shape id="_x0000_i1078" type="#_x0000_t75" style="width:11pt;height:18pt" o:ole="">
            <v:imagedata r:id="rId119" o:title=""/>
          </v:shape>
          <o:OLEObject Type="Embed" ProgID="Equation.DSMT4" ShapeID="_x0000_i1078" DrawAspect="Content" ObjectID="_1820671045" r:id="rId120"/>
        </w:object>
      </w:r>
      <w:r w:rsidRPr="00E417E7">
        <w:t xml:space="preserve"> represents the observed vegetation index at time </w:t>
      </w:r>
      <w:r w:rsidRPr="00E417E7">
        <w:rPr>
          <w:position w:val="-6"/>
        </w:rPr>
        <w:object w:dxaOrig="139" w:dyaOrig="240" w14:anchorId="62EE69DE">
          <v:shape id="_x0000_i1079" type="#_x0000_t75" style="width:6.5pt;height:12pt" o:ole="">
            <v:imagedata r:id="rId121" o:title=""/>
          </v:shape>
          <o:OLEObject Type="Embed" ProgID="Equation.DSMT4" ShapeID="_x0000_i1079" DrawAspect="Content" ObjectID="_1820671046" r:id="rId122"/>
        </w:object>
      </w:r>
      <w:r w:rsidRPr="00E417E7">
        <w:t xml:space="preserve">, </w:t>
      </w:r>
      <w:r w:rsidRPr="00E417E7">
        <w:rPr>
          <w:position w:val="-12"/>
        </w:rPr>
        <w:object w:dxaOrig="220" w:dyaOrig="360" w14:anchorId="2CD5018B">
          <v:shape id="_x0000_i1080" type="#_x0000_t75" style="width:11pt;height:18pt" o:ole="">
            <v:imagedata r:id="rId123" o:title=""/>
          </v:shape>
          <o:OLEObject Type="Embed" ProgID="Equation.DSMT4" ShapeID="_x0000_i1080" DrawAspect="Content" ObjectID="_1820671047" r:id="rId124"/>
        </w:object>
      </w:r>
      <w:r w:rsidRPr="00E417E7">
        <w:t xml:space="preserve"> is the trend component, </w:t>
      </w:r>
      <w:r w:rsidRPr="00E417E7">
        <w:rPr>
          <w:position w:val="-12"/>
        </w:rPr>
        <w:object w:dxaOrig="260" w:dyaOrig="360" w14:anchorId="49B7466B">
          <v:shape id="_x0000_i1081" type="#_x0000_t75" style="width:13pt;height:18pt" o:ole="">
            <v:imagedata r:id="rId125" o:title=""/>
          </v:shape>
          <o:OLEObject Type="Embed" ProgID="Equation.DSMT4" ShapeID="_x0000_i1081" DrawAspect="Content" ObjectID="_1820671048" r:id="rId126"/>
        </w:object>
      </w:r>
      <w:r w:rsidRPr="00E417E7">
        <w:t xml:space="preserve"> is </w:t>
      </w:r>
      <w:r w:rsidRPr="00E417E7">
        <w:lastRenderedPageBreak/>
        <w:t xml:space="preserve">the seasonal component, and </w:t>
      </w:r>
      <w:r w:rsidRPr="00E417E7">
        <w:rPr>
          <w:position w:val="-12"/>
        </w:rPr>
        <w:object w:dxaOrig="260" w:dyaOrig="360" w14:anchorId="701668F7">
          <v:shape id="_x0000_i1082" type="#_x0000_t75" style="width:13pt;height:18pt" o:ole="">
            <v:imagedata r:id="rId127" o:title=""/>
          </v:shape>
          <o:OLEObject Type="Embed" ProgID="Equation.DSMT4" ShapeID="_x0000_i1082" DrawAspect="Content" ObjectID="_1820671049" r:id="rId128"/>
        </w:object>
      </w:r>
      <w:r w:rsidRPr="00E417E7">
        <w:t xml:space="preserve"> is the residual. The Mann-Kendall test was applied for trend detection using the statistic </w:t>
      </w:r>
    </w:p>
    <w:p w14:paraId="19A50D14" w14:textId="751F72D8" w:rsidR="003D2037" w:rsidRDefault="003D2037" w:rsidP="003D2037">
      <w:pPr>
        <w:pStyle w:val="MTDisplayEquation"/>
      </w:pPr>
      <w:r>
        <w:tab/>
      </w:r>
      <w:r w:rsidRPr="003D2037">
        <w:rPr>
          <w:position w:val="-30"/>
        </w:rPr>
        <w:object w:dxaOrig="2240" w:dyaOrig="700" w14:anchorId="2254C6FA">
          <v:shape id="_x0000_i1083" type="#_x0000_t75" style="width:112pt;height:35pt" o:ole="">
            <v:imagedata r:id="rId129" o:title=""/>
          </v:shape>
          <o:OLEObject Type="Embed" ProgID="Equation.DSMT4" ShapeID="_x0000_i1083" DrawAspect="Content" ObjectID="_1820671050" r:id="rId13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10</w:instrText>
        </w:r>
      </w:fldSimple>
      <w:r>
        <w:instrText>)</w:instrText>
      </w:r>
      <w:r>
        <w:fldChar w:fldCharType="end"/>
      </w:r>
    </w:p>
    <w:p w14:paraId="4DF4AF77" w14:textId="77777777" w:rsidR="003D2037" w:rsidRDefault="00E417E7" w:rsidP="00E417E7">
      <w:r w:rsidRPr="00E417E7">
        <w:t xml:space="preserve">where </w:t>
      </w:r>
      <w:proofErr w:type="spellStart"/>
      <w:r w:rsidRPr="00E417E7">
        <w:t>sgn</w:t>
      </w:r>
      <w:proofErr w:type="spellEnd"/>
      <w:r w:rsidRPr="00E417E7">
        <w:t xml:space="preserve"> is the signum function and </w:t>
      </w:r>
      <w:r w:rsidRPr="00E417E7">
        <w:rPr>
          <w:position w:val="-12"/>
        </w:rPr>
        <w:object w:dxaOrig="240" w:dyaOrig="360" w14:anchorId="726968D9">
          <v:shape id="_x0000_i1084" type="#_x0000_t75" style="width:12pt;height:18pt" o:ole="">
            <v:imagedata r:id="rId131" o:title=""/>
          </v:shape>
          <o:OLEObject Type="Embed" ProgID="Equation.DSMT4" ShapeID="_x0000_i1084" DrawAspect="Content" ObjectID="_1820671051" r:id="rId132"/>
        </w:object>
      </w:r>
      <w:r w:rsidRPr="00E417E7">
        <w:t xml:space="preserve">, </w:t>
      </w:r>
      <w:r w:rsidRPr="00E417E7">
        <w:rPr>
          <w:position w:val="-14"/>
        </w:rPr>
        <w:object w:dxaOrig="260" w:dyaOrig="380" w14:anchorId="20F2B302">
          <v:shape id="_x0000_i1085" type="#_x0000_t75" style="width:13pt;height:19pt" o:ole="">
            <v:imagedata r:id="rId133" o:title=""/>
          </v:shape>
          <o:OLEObject Type="Embed" ProgID="Equation.DSMT4" ShapeID="_x0000_i1085" DrawAspect="Content" ObjectID="_1820671052" r:id="rId134"/>
        </w:object>
      </w:r>
      <w:r w:rsidRPr="00E417E7">
        <w:t xml:space="preserve"> are sequential data values. Seasonal strength was quantified as </w:t>
      </w:r>
    </w:p>
    <w:p w14:paraId="6E1522FE" w14:textId="2040FB2C" w:rsidR="003D2037" w:rsidRDefault="003D2037" w:rsidP="003D2037">
      <w:pPr>
        <w:pStyle w:val="MTDisplayEquation"/>
      </w:pPr>
      <w:r>
        <w:tab/>
      </w:r>
      <w:r w:rsidRPr="003D2037">
        <w:rPr>
          <w:position w:val="-30"/>
        </w:rPr>
        <w:object w:dxaOrig="2020" w:dyaOrig="680" w14:anchorId="429FC443">
          <v:shape id="_x0000_i1086" type="#_x0000_t75" style="width:101pt;height:34pt" o:ole="">
            <v:imagedata r:id="rId135" o:title=""/>
          </v:shape>
          <o:OLEObject Type="Embed" ProgID="Equation.DSMT4" ShapeID="_x0000_i1086" DrawAspect="Content" ObjectID="_1820671053" r:id="rId13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11</w:instrText>
        </w:r>
      </w:fldSimple>
      <w:r>
        <w:instrText>)</w:instrText>
      </w:r>
      <w:r>
        <w:fldChar w:fldCharType="end"/>
      </w:r>
    </w:p>
    <w:p w14:paraId="51E96DDD" w14:textId="021E90E7" w:rsidR="00E417E7" w:rsidRDefault="00E417E7" w:rsidP="00E417E7">
      <w:r w:rsidRPr="00E417E7">
        <w:t>indicating the proportion of variance explained by seasonal patterns.</w:t>
      </w:r>
    </w:p>
    <w:p w14:paraId="6DF6786F" w14:textId="70D045CB" w:rsidR="00C02F33" w:rsidRDefault="003D2037" w:rsidP="00810E41">
      <w:pPr>
        <w:jc w:val="center"/>
      </w:pPr>
      <w:r>
        <w:rPr>
          <w:noProof/>
        </w:rPr>
        <w:drawing>
          <wp:inline distT="0" distB="0" distL="0" distR="0" wp14:anchorId="01126294" wp14:editId="5EDFA789">
            <wp:extent cx="5274310" cy="3602990"/>
            <wp:effectExtent l="0" t="0" r="2540" b="0"/>
            <wp:docPr id="1"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7">
                      <a:extLst>
                        <a:ext uri="{96DAC541-7B7A-43D3-8B79-37D633B846F1}">
                          <asvg:svgBlip xmlns:asvg="http://schemas.microsoft.com/office/drawing/2016/SVG/main" r:embed="rId138"/>
                        </a:ext>
                      </a:extLst>
                    </a:blip>
                    <a:stretch>
                      <a:fillRect/>
                    </a:stretch>
                  </pic:blipFill>
                  <pic:spPr>
                    <a:xfrm>
                      <a:off x="0" y="0"/>
                      <a:ext cx="5274310" cy="3602990"/>
                    </a:xfrm>
                    <a:prstGeom prst="rect">
                      <a:avLst/>
                    </a:prstGeom>
                  </pic:spPr>
                </pic:pic>
              </a:graphicData>
            </a:graphic>
          </wp:inline>
        </w:drawing>
      </w:r>
    </w:p>
    <w:p w14:paraId="5691FE13" w14:textId="04607C3C" w:rsidR="00C02F33" w:rsidRDefault="00C02F33" w:rsidP="00C02F33">
      <w:pPr>
        <w:jc w:val="center"/>
      </w:pPr>
      <w:r>
        <w:rPr>
          <w:rFonts w:hint="eastAsia"/>
        </w:rPr>
        <w:t>Fig</w:t>
      </w:r>
      <w:r>
        <w:t>.</w:t>
      </w:r>
      <w:r w:rsidR="00810E41">
        <w:t>1</w:t>
      </w:r>
      <w:r w:rsidR="00810E41" w:rsidRPr="00810E41">
        <w:t>Data Analysis Framework Architecture</w:t>
      </w:r>
    </w:p>
    <w:p w14:paraId="062A9150" w14:textId="5974F923" w:rsidR="00C02F33" w:rsidRPr="00E417E7" w:rsidRDefault="00C02F33" w:rsidP="00E417E7">
      <w:r>
        <w:rPr>
          <w:rStyle w:val="a8"/>
        </w:rPr>
        <w:t xml:space="preserve">Figure </w:t>
      </w:r>
      <w:r w:rsidR="00810E41">
        <w:rPr>
          <w:rStyle w:val="a8"/>
        </w:rPr>
        <w:t>1</w:t>
      </w:r>
      <w:r>
        <w:t xml:space="preserve"> Data analysis framework architecture showing the integration of temporal and spatial analytical components for vegetation restoration assessment</w:t>
      </w:r>
    </w:p>
    <w:p w14:paraId="28F27047" w14:textId="77777777" w:rsidR="003D2037" w:rsidRDefault="00E417E7" w:rsidP="00E417E7">
      <w:r w:rsidRPr="00E417E7">
        <w:t xml:space="preserve">Spatial analysis implemented concentric buffer zones at intervals </w:t>
      </w:r>
      <w:r w:rsidRPr="00E417E7">
        <w:rPr>
          <w:position w:val="-10"/>
        </w:rPr>
        <w:object w:dxaOrig="3260" w:dyaOrig="320" w14:anchorId="46CCBD74">
          <v:shape id="_x0000_i1087" type="#_x0000_t75" style="width:163pt;height:16pt" o:ole="">
            <v:imagedata r:id="rId139" o:title=""/>
          </v:shape>
          <o:OLEObject Type="Embed" ProgID="Equation.DSMT4" ShapeID="_x0000_i1087" DrawAspect="Content" ObjectID="_1820671054" r:id="rId140"/>
        </w:object>
      </w:r>
      <w:r w:rsidRPr="00E417E7">
        <w:t xml:space="preserve"> km from the power facility, with vegetation metrics aggregated using zonal statistics. Spatial autocorrelation was assessed through Moran's I: </w:t>
      </w:r>
    </w:p>
    <w:p w14:paraId="1E06E269" w14:textId="46985423" w:rsidR="003D2037" w:rsidRDefault="003D2037" w:rsidP="003D2037">
      <w:pPr>
        <w:pStyle w:val="MTDisplayEquation"/>
      </w:pPr>
      <w:r>
        <w:tab/>
      </w:r>
      <w:r w:rsidRPr="003D2037">
        <w:rPr>
          <w:position w:val="-50"/>
        </w:rPr>
        <w:object w:dxaOrig="3640" w:dyaOrig="1100" w14:anchorId="2D5953C6">
          <v:shape id="_x0000_i1088" type="#_x0000_t75" style="width:182pt;height:55pt" o:ole="">
            <v:imagedata r:id="rId141" o:title=""/>
          </v:shape>
          <o:OLEObject Type="Embed" ProgID="Equation.DSMT4" ShapeID="_x0000_i1088" DrawAspect="Content" ObjectID="_1820671055" r:id="rId142"/>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12</w:instrText>
        </w:r>
      </w:fldSimple>
      <w:r>
        <w:instrText>)</w:instrText>
      </w:r>
      <w:r>
        <w:fldChar w:fldCharType="end"/>
      </w:r>
    </w:p>
    <w:p w14:paraId="6C93FCF9" w14:textId="77777777" w:rsidR="003D2037" w:rsidRDefault="00E417E7" w:rsidP="00E417E7">
      <w:pPr>
        <w:rPr>
          <w:i/>
          <w:iCs/>
        </w:rPr>
      </w:pPr>
      <w:r w:rsidRPr="00E417E7">
        <w:t xml:space="preserve">where </w:t>
      </w:r>
      <w:r w:rsidRPr="00E417E7">
        <w:rPr>
          <w:position w:val="-14"/>
        </w:rPr>
        <w:object w:dxaOrig="320" w:dyaOrig="380" w14:anchorId="11EDC5D1">
          <v:shape id="_x0000_i1089" type="#_x0000_t75" style="width:16pt;height:19pt" o:ole="">
            <v:imagedata r:id="rId143" o:title=""/>
          </v:shape>
          <o:OLEObject Type="Embed" ProgID="Equation.DSMT4" ShapeID="_x0000_i1089" DrawAspect="Content" ObjectID="_1820671056" r:id="rId144"/>
        </w:object>
      </w:r>
      <w:r w:rsidRPr="00E417E7">
        <w:t xml:space="preserve"> represents spatial weights, </w:t>
      </w:r>
      <w:r w:rsidRPr="00E417E7">
        <w:rPr>
          <w:position w:val="-12"/>
        </w:rPr>
        <w:object w:dxaOrig="240" w:dyaOrig="360" w14:anchorId="4896EF9B">
          <v:shape id="_x0000_i1090" type="#_x0000_t75" style="width:12pt;height:18pt" o:ole="">
            <v:imagedata r:id="rId145" o:title=""/>
          </v:shape>
          <o:OLEObject Type="Embed" ProgID="Equation.DSMT4" ShapeID="_x0000_i1090" DrawAspect="Content" ObjectID="_1820671057" r:id="rId146"/>
        </w:object>
      </w:r>
      <w:r w:rsidRPr="00E417E7">
        <w:t xml:space="preserve"> is the vegetation index at location </w:t>
      </w:r>
      <w:r w:rsidRPr="00E417E7">
        <w:rPr>
          <w:position w:val="-6"/>
        </w:rPr>
        <w:object w:dxaOrig="139" w:dyaOrig="260" w14:anchorId="5615D5B4">
          <v:shape id="_x0000_i1091" type="#_x0000_t75" style="width:6.5pt;height:13pt" o:ole="">
            <v:imagedata r:id="rId147" o:title=""/>
          </v:shape>
          <o:OLEObject Type="Embed" ProgID="Equation.DSMT4" ShapeID="_x0000_i1091" DrawAspect="Content" ObjectID="_1820671058" r:id="rId148"/>
        </w:object>
      </w:r>
      <w:r w:rsidRPr="00E417E7">
        <w:t xml:space="preserve">, and </w:t>
      </w:r>
      <w:r w:rsidRPr="00E417E7">
        <w:rPr>
          <w:position w:val="-6"/>
        </w:rPr>
        <w:object w:dxaOrig="220" w:dyaOrig="260" w14:anchorId="1445D287">
          <v:shape id="_x0000_i1092" type="#_x0000_t75" style="width:11pt;height:13pt" o:ole="">
            <v:imagedata r:id="rId149" o:title=""/>
          </v:shape>
          <o:OLEObject Type="Embed" ProgID="Equation.DSMT4" ShapeID="_x0000_i1092" DrawAspect="Content" ObjectID="_1820671059" r:id="rId150"/>
        </w:object>
      </w:r>
      <w:r w:rsidRPr="00E417E7">
        <w:t xml:space="preserve"> is the </w:t>
      </w:r>
      <w:r w:rsidRPr="00E417E7">
        <w:lastRenderedPageBreak/>
        <w:t xml:space="preserve">mean value. Hot spot analysis utilized the </w:t>
      </w:r>
      <w:proofErr w:type="spellStart"/>
      <w:r w:rsidRPr="00E417E7">
        <w:t>Getis</w:t>
      </w:r>
      <w:proofErr w:type="spellEnd"/>
      <w:r w:rsidRPr="00E417E7">
        <w:t xml:space="preserve">-Ord </w:t>
      </w:r>
      <w:r w:rsidRPr="00E417E7">
        <w:rPr>
          <w:position w:val="-12"/>
        </w:rPr>
        <w:object w:dxaOrig="320" w:dyaOrig="380" w14:anchorId="29B6331C">
          <v:shape id="_x0000_i1093" type="#_x0000_t75" style="width:16pt;height:19pt" o:ole="">
            <v:imagedata r:id="rId151" o:title=""/>
          </v:shape>
          <o:OLEObject Type="Embed" ProgID="Equation.DSMT4" ShapeID="_x0000_i1093" DrawAspect="Content" ObjectID="_1820671060" r:id="rId152"/>
        </w:object>
      </w:r>
      <w:r w:rsidRPr="00E417E7">
        <w:rPr>
          <w:i/>
          <w:iCs/>
        </w:rPr>
        <w:t xml:space="preserve"> statistic to identify clusters of successful restoration: </w:t>
      </w:r>
    </w:p>
    <w:p w14:paraId="747C8B56" w14:textId="28086F9B" w:rsidR="003D2037" w:rsidRDefault="003D2037" w:rsidP="003D2037">
      <w:pPr>
        <w:pStyle w:val="MTDisplayEquation"/>
      </w:pPr>
      <w:r>
        <w:tab/>
      </w:r>
      <w:r w:rsidRPr="003D2037">
        <w:rPr>
          <w:position w:val="-98"/>
        </w:rPr>
        <w:object w:dxaOrig="2480" w:dyaOrig="1740" w14:anchorId="64B89B03">
          <v:shape id="_x0000_i1094" type="#_x0000_t75" style="width:124pt;height:87pt" o:ole="">
            <v:imagedata r:id="rId153" o:title=""/>
          </v:shape>
          <o:OLEObject Type="Embed" ProgID="Equation.DSMT4" ShapeID="_x0000_i1094" DrawAspect="Content" ObjectID="_1820671061" r:id="rId154"/>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13</w:instrText>
        </w:r>
      </w:fldSimple>
      <w:r>
        <w:instrText>)</w:instrText>
      </w:r>
      <w:r>
        <w:fldChar w:fldCharType="end"/>
      </w:r>
    </w:p>
    <w:p w14:paraId="0328A343" w14:textId="0A642E51" w:rsidR="00E417E7" w:rsidRPr="00E417E7" w:rsidRDefault="00E417E7" w:rsidP="00E417E7">
      <w:r w:rsidRPr="00E417E7">
        <w:t xml:space="preserve">where </w:t>
      </w:r>
      <w:r w:rsidRPr="00E417E7">
        <w:rPr>
          <w:position w:val="-6"/>
        </w:rPr>
        <w:object w:dxaOrig="220" w:dyaOrig="279" w14:anchorId="46CDB658">
          <v:shape id="_x0000_i1095" type="#_x0000_t75" style="width:11pt;height:14pt" o:ole="">
            <v:imagedata r:id="rId155" o:title=""/>
          </v:shape>
          <o:OLEObject Type="Embed" ProgID="Equation.DSMT4" ShapeID="_x0000_i1095" DrawAspect="Content" ObjectID="_1820671062" r:id="rId156"/>
        </w:object>
      </w:r>
      <w:r w:rsidRPr="00E417E7">
        <w:t xml:space="preserve"> is the standard deviation and values </w:t>
      </w:r>
      <w:r w:rsidRPr="00E417E7">
        <w:rPr>
          <w:position w:val="-6"/>
        </w:rPr>
        <w:object w:dxaOrig="660" w:dyaOrig="279" w14:anchorId="2AEBFBA6">
          <v:shape id="_x0000_i1096" type="#_x0000_t75" style="width:33pt;height:14pt" o:ole="">
            <v:imagedata r:id="rId157" o:title=""/>
          </v:shape>
          <o:OLEObject Type="Embed" ProgID="Equation.DSMT4" ShapeID="_x0000_i1096" DrawAspect="Content" ObjectID="_1820671063" r:id="rId158"/>
        </w:object>
      </w:r>
      <w:r w:rsidRPr="00E417E7">
        <w:t xml:space="preserve"> indicate significant restoration hotspots.</w:t>
      </w:r>
    </w:p>
    <w:p w14:paraId="193FC837" w14:textId="61253D54" w:rsidR="00FC4262" w:rsidRDefault="00FC4262" w:rsidP="00FC4262">
      <w:pPr>
        <w:pStyle w:val="3"/>
      </w:pPr>
      <w:bookmarkStart w:id="3" w:name="OLE_LINK8"/>
      <w:bookmarkEnd w:id="2"/>
      <w:r w:rsidRPr="00FC4262">
        <w:t>2.5 Statistical Methods</w:t>
      </w:r>
    </w:p>
    <w:p w14:paraId="600C82AA" w14:textId="77777777" w:rsidR="003D2037" w:rsidRDefault="00810E41" w:rsidP="00810E41">
      <w:r w:rsidRPr="00810E41">
        <w:t xml:space="preserve">Multi-temporal change detection was performed using the differencing method: </w:t>
      </w:r>
    </w:p>
    <w:p w14:paraId="4E501FAE" w14:textId="6D36BB6B" w:rsidR="003D2037" w:rsidRDefault="003D2037" w:rsidP="003D2037">
      <w:pPr>
        <w:pStyle w:val="MTDisplayEquation"/>
      </w:pPr>
      <w:r>
        <w:tab/>
      </w:r>
      <w:r w:rsidRPr="003D2037">
        <w:rPr>
          <w:position w:val="-14"/>
        </w:rPr>
        <w:object w:dxaOrig="1700" w:dyaOrig="380" w14:anchorId="0BC20956">
          <v:shape id="_x0000_i1097" type="#_x0000_t75" style="width:85pt;height:19pt" o:ole="">
            <v:imagedata r:id="rId159" o:title=""/>
          </v:shape>
          <o:OLEObject Type="Embed" ProgID="Equation.DSMT4" ShapeID="_x0000_i1097" DrawAspect="Content" ObjectID="_1820671064" r:id="rId16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14</w:instrText>
        </w:r>
      </w:fldSimple>
      <w:r>
        <w:instrText>)</w:instrText>
      </w:r>
      <w:r>
        <w:fldChar w:fldCharType="end"/>
      </w:r>
    </w:p>
    <w:p w14:paraId="086883B0" w14:textId="77777777" w:rsidR="003D2037" w:rsidRDefault="00810E41" w:rsidP="00810E41">
      <w:r w:rsidRPr="00810E41">
        <w:t xml:space="preserve">where </w:t>
      </w:r>
      <w:r w:rsidRPr="00810E41">
        <w:rPr>
          <w:position w:val="-14"/>
        </w:rPr>
        <w:object w:dxaOrig="540" w:dyaOrig="380" w14:anchorId="308BAA79">
          <v:shape id="_x0000_i1098" type="#_x0000_t75" style="width:27pt;height:19pt" o:ole="">
            <v:imagedata r:id="rId161" o:title=""/>
          </v:shape>
          <o:OLEObject Type="Embed" ProgID="Equation.DSMT4" ShapeID="_x0000_i1098" DrawAspect="Content" ObjectID="_1820671065" r:id="rId162"/>
        </w:object>
      </w:r>
      <w:r w:rsidRPr="00810E41">
        <w:t xml:space="preserve"> represents vegetation index change at pixel </w:t>
      </w:r>
      <w:r w:rsidRPr="00810E41">
        <w:rPr>
          <w:position w:val="-10"/>
        </w:rPr>
        <w:object w:dxaOrig="520" w:dyaOrig="320" w14:anchorId="214B3ECC">
          <v:shape id="_x0000_i1099" type="#_x0000_t75" style="width:26pt;height:16pt" o:ole="">
            <v:imagedata r:id="rId163" o:title=""/>
          </v:shape>
          <o:OLEObject Type="Embed" ProgID="Equation.DSMT4" ShapeID="_x0000_i1099" DrawAspect="Content" ObjectID="_1820671066" r:id="rId164"/>
        </w:object>
      </w:r>
      <w:r w:rsidRPr="00810E41">
        <w:t xml:space="preserve"> between time periods t1 and t2. Significant changes were identified using the threshold </w:t>
      </w:r>
    </w:p>
    <w:p w14:paraId="462587D3" w14:textId="25B980AB" w:rsidR="003D2037" w:rsidRDefault="003D2037" w:rsidP="003D2037">
      <w:pPr>
        <w:pStyle w:val="MTDisplayEquation"/>
      </w:pPr>
      <w:r>
        <w:tab/>
      </w:r>
      <w:r w:rsidRPr="003D2037">
        <w:rPr>
          <w:position w:val="-14"/>
        </w:rPr>
        <w:object w:dxaOrig="1579" w:dyaOrig="380" w14:anchorId="23750518">
          <v:shape id="_x0000_i1100" type="#_x0000_t75" style="width:78.5pt;height:19pt" o:ole="">
            <v:imagedata r:id="rId165" o:title=""/>
          </v:shape>
          <o:OLEObject Type="Embed" ProgID="Equation.DSMT4" ShapeID="_x0000_i1100" DrawAspect="Content" ObjectID="_1820671067" r:id="rId16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15</w:instrText>
        </w:r>
      </w:fldSimple>
      <w:r>
        <w:instrText>)</w:instrText>
      </w:r>
      <w:r>
        <w:fldChar w:fldCharType="end"/>
      </w:r>
    </w:p>
    <w:p w14:paraId="0CB6723D" w14:textId="77777777" w:rsidR="003D2037" w:rsidRDefault="00810E41" w:rsidP="00810E41">
      <w:r w:rsidRPr="00810E41">
        <w:t xml:space="preserve">where </w:t>
      </w:r>
      <w:r w:rsidRPr="00810E41">
        <w:rPr>
          <w:position w:val="-10"/>
        </w:rPr>
        <w:object w:dxaOrig="240" w:dyaOrig="260" w14:anchorId="52344DF7">
          <v:shape id="_x0000_i1101" type="#_x0000_t75" style="width:12pt;height:13pt" o:ole="">
            <v:imagedata r:id="rId167" o:title=""/>
          </v:shape>
          <o:OLEObject Type="Embed" ProgID="Equation.DSMT4" ShapeID="_x0000_i1101" DrawAspect="Content" ObjectID="_1820671068" r:id="rId168"/>
        </w:object>
      </w:r>
      <w:r w:rsidRPr="00810E41">
        <w:t xml:space="preserve"> is mean change, </w:t>
      </w:r>
      <w:r w:rsidRPr="00810E41">
        <w:rPr>
          <w:position w:val="-6"/>
        </w:rPr>
        <w:object w:dxaOrig="240" w:dyaOrig="220" w14:anchorId="7706A7FE">
          <v:shape id="_x0000_i1102" type="#_x0000_t75" style="width:12pt;height:11pt" o:ole="">
            <v:imagedata r:id="rId169" o:title=""/>
          </v:shape>
          <o:OLEObject Type="Embed" ProgID="Equation.DSMT4" ShapeID="_x0000_i1102" DrawAspect="Content" ObjectID="_1820671069" r:id="rId170"/>
        </w:object>
      </w:r>
      <w:r w:rsidRPr="00810E41">
        <w:t xml:space="preserve"> is standard deviation, and </w:t>
      </w:r>
      <w:r w:rsidRPr="00810E41">
        <w:rPr>
          <w:position w:val="-6"/>
        </w:rPr>
        <w:object w:dxaOrig="560" w:dyaOrig="279" w14:anchorId="48586777">
          <v:shape id="_x0000_i1103" type="#_x0000_t75" style="width:28pt;height:14pt" o:ole="">
            <v:imagedata r:id="rId171" o:title=""/>
          </v:shape>
          <o:OLEObject Type="Embed" ProgID="Equation.DSMT4" ShapeID="_x0000_i1103" DrawAspect="Content" ObjectID="_1820671070" r:id="rId172"/>
        </w:object>
      </w:r>
      <w:r w:rsidRPr="00810E41">
        <w:t xml:space="preserve"> corresponds to 95% confidence level. One-way ANOVA tested seasonal differences in vegetation parameters: </w:t>
      </w:r>
    </w:p>
    <w:p w14:paraId="6E841810" w14:textId="774106AD" w:rsidR="003D2037" w:rsidRDefault="003D2037" w:rsidP="003D2037">
      <w:pPr>
        <w:pStyle w:val="MTDisplayEquation"/>
      </w:pPr>
      <w:r>
        <w:tab/>
      </w:r>
      <w:r w:rsidRPr="003D2037">
        <w:rPr>
          <w:position w:val="-64"/>
        </w:rPr>
        <w:object w:dxaOrig="4440" w:dyaOrig="1359" w14:anchorId="360A844C">
          <v:shape id="_x0000_i1104" type="#_x0000_t75" style="width:222pt;height:68pt" o:ole="">
            <v:imagedata r:id="rId173" o:title=""/>
          </v:shape>
          <o:OLEObject Type="Embed" ProgID="Equation.DSMT4" ShapeID="_x0000_i1104" DrawAspect="Content" ObjectID="_1820671071" r:id="rId174"/>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16</w:instrText>
        </w:r>
      </w:fldSimple>
      <w:r>
        <w:instrText>)</w:instrText>
      </w:r>
      <w:r>
        <w:fldChar w:fldCharType="end"/>
      </w:r>
    </w:p>
    <w:p w14:paraId="6AAB86E8" w14:textId="73C5863F" w:rsidR="00810E41" w:rsidRPr="00810E41" w:rsidRDefault="00810E41" w:rsidP="00810E41">
      <w:r w:rsidRPr="00810E41">
        <w:t xml:space="preserve">where </w:t>
      </w:r>
      <w:r w:rsidRPr="00810E41">
        <w:rPr>
          <w:position w:val="-6"/>
        </w:rPr>
        <w:object w:dxaOrig="560" w:dyaOrig="279" w14:anchorId="5272BC03">
          <v:shape id="_x0000_i1105" type="#_x0000_t75" style="width:28pt;height:14pt" o:ole="">
            <v:imagedata r:id="rId175" o:title=""/>
          </v:shape>
          <o:OLEObject Type="Embed" ProgID="Equation.DSMT4" ShapeID="_x0000_i1105" DrawAspect="Content" ObjectID="_1820671072" r:id="rId176"/>
        </w:object>
      </w:r>
      <w:r w:rsidRPr="00810E41">
        <w:t xml:space="preserve"> seasons, </w:t>
      </w:r>
      <w:r w:rsidRPr="00810E41">
        <w:rPr>
          <w:position w:val="-12"/>
        </w:rPr>
        <w:object w:dxaOrig="240" w:dyaOrig="360" w14:anchorId="2EE3D0A7">
          <v:shape id="_x0000_i1106" type="#_x0000_t75" style="width:12pt;height:18pt" o:ole="">
            <v:imagedata r:id="rId177" o:title=""/>
          </v:shape>
          <o:OLEObject Type="Embed" ProgID="Equation.DSMT4" ShapeID="_x0000_i1106" DrawAspect="Content" ObjectID="_1820671073" r:id="rId178"/>
        </w:object>
      </w:r>
      <w:r w:rsidRPr="00810E41">
        <w:t xml:space="preserve"> is sample size per season, and </w:t>
      </w:r>
      <w:r w:rsidRPr="00810E41">
        <w:rPr>
          <w:position w:val="-6"/>
        </w:rPr>
        <w:object w:dxaOrig="279" w:dyaOrig="279" w14:anchorId="371E8BC8">
          <v:shape id="_x0000_i1107" type="#_x0000_t75" style="width:14pt;height:14pt" o:ole="">
            <v:imagedata r:id="rId179" o:title=""/>
          </v:shape>
          <o:OLEObject Type="Embed" ProgID="Equation.DSMT4" ShapeID="_x0000_i1107" DrawAspect="Content" ObjectID="_1820671074" r:id="rId180"/>
        </w:object>
      </w:r>
      <w:r w:rsidRPr="00810E41">
        <w:t xml:space="preserve"> is total observations.</w:t>
      </w:r>
    </w:p>
    <w:p w14:paraId="776C9047" w14:textId="77777777" w:rsidR="003D2037" w:rsidRDefault="00810E41" w:rsidP="00810E41">
      <w:r w:rsidRPr="00810E41">
        <w:t xml:space="preserve">Multiple regression analysis examined environmental factors influencing vegetation restoration: </w:t>
      </w:r>
    </w:p>
    <w:p w14:paraId="5103BE50" w14:textId="105EDDC0" w:rsidR="003D2037" w:rsidRDefault="003D2037" w:rsidP="003D2037">
      <w:pPr>
        <w:pStyle w:val="MTDisplayEquation"/>
      </w:pPr>
      <w:r>
        <w:tab/>
      </w:r>
      <w:r w:rsidRPr="003D2037">
        <w:rPr>
          <w:position w:val="-12"/>
        </w:rPr>
        <w:object w:dxaOrig="3560" w:dyaOrig="360" w14:anchorId="68E9AB4B">
          <v:shape id="_x0000_i1108" type="#_x0000_t75" style="width:178pt;height:18pt" o:ole="">
            <v:imagedata r:id="rId181" o:title=""/>
          </v:shape>
          <o:OLEObject Type="Embed" ProgID="Equation.DSMT4" ShapeID="_x0000_i1108" DrawAspect="Content" ObjectID="_1820671075" r:id="rId182"/>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17</w:instrText>
        </w:r>
      </w:fldSimple>
      <w:r>
        <w:instrText>)</w:instrText>
      </w:r>
      <w:r>
        <w:fldChar w:fldCharType="end"/>
      </w:r>
    </w:p>
    <w:p w14:paraId="5ED7EC91" w14:textId="77777777" w:rsidR="003D2037" w:rsidRDefault="00810E41" w:rsidP="00810E41">
      <w:r w:rsidRPr="00810E41">
        <w:t xml:space="preserve">where </w:t>
      </w:r>
      <w:r w:rsidRPr="00025957">
        <w:rPr>
          <w:position w:val="-4"/>
        </w:rPr>
        <w:object w:dxaOrig="220" w:dyaOrig="260" w14:anchorId="40434BC3">
          <v:shape id="_x0000_i1109" type="#_x0000_t75" style="width:11pt;height:13pt" o:ole="">
            <v:imagedata r:id="rId183" o:title=""/>
          </v:shape>
          <o:OLEObject Type="Embed" ProgID="Equation.DSMT4" ShapeID="_x0000_i1109" DrawAspect="Content" ObjectID="_1820671076" r:id="rId184"/>
        </w:object>
      </w:r>
      <w:r w:rsidRPr="00810E41">
        <w:t xml:space="preserve"> is vegetation index, </w:t>
      </w:r>
      <w:r w:rsidRPr="00810E41">
        <w:rPr>
          <w:position w:val="-12"/>
        </w:rPr>
        <w:object w:dxaOrig="300" w:dyaOrig="360" w14:anchorId="37AA5252">
          <v:shape id="_x0000_i1110" type="#_x0000_t75" style="width:15pt;height:18pt" o:ole="">
            <v:imagedata r:id="rId185" o:title=""/>
          </v:shape>
          <o:OLEObject Type="Embed" ProgID="Equation.DSMT4" ShapeID="_x0000_i1110" DrawAspect="Content" ObjectID="_1820671077" r:id="rId186"/>
        </w:object>
      </w:r>
      <w:r w:rsidRPr="00810E41">
        <w:t xml:space="preserve"> represents environmental variables (temperature, precipitation, distance from facility), </w:t>
      </w:r>
      <w:r w:rsidRPr="00810E41">
        <w:rPr>
          <w:position w:val="-12"/>
        </w:rPr>
        <w:object w:dxaOrig="260" w:dyaOrig="360" w14:anchorId="5796E2B5">
          <v:shape id="_x0000_i1111" type="#_x0000_t75" style="width:13pt;height:18pt" o:ole="">
            <v:imagedata r:id="rId187" o:title=""/>
          </v:shape>
          <o:OLEObject Type="Embed" ProgID="Equation.DSMT4" ShapeID="_x0000_i1111" DrawAspect="Content" ObjectID="_1820671078" r:id="rId188"/>
        </w:object>
      </w:r>
      <w:r w:rsidRPr="00810E41">
        <w:t xml:space="preserve"> are regression coefficients, and </w:t>
      </w:r>
      <w:r w:rsidRPr="00810E41">
        <w:rPr>
          <w:position w:val="-6"/>
        </w:rPr>
        <w:object w:dxaOrig="200" w:dyaOrig="220" w14:anchorId="4824507C">
          <v:shape id="_x0000_i1112" type="#_x0000_t75" style="width:10pt;height:11pt" o:ole="">
            <v:imagedata r:id="rId189" o:title=""/>
          </v:shape>
          <o:OLEObject Type="Embed" ProgID="Equation.DSMT4" ShapeID="_x0000_i1112" DrawAspect="Content" ObjectID="_1820671079" r:id="rId190"/>
        </w:object>
      </w:r>
      <w:r w:rsidRPr="00810E41">
        <w:t xml:space="preserve"> is error term. Model selection used stepwise AIC criterion: </w:t>
      </w:r>
    </w:p>
    <w:p w14:paraId="1071E6D7" w14:textId="5B0D9A0F" w:rsidR="003D2037" w:rsidRDefault="003D2037" w:rsidP="003D2037">
      <w:pPr>
        <w:pStyle w:val="MTDisplayEquation"/>
      </w:pPr>
      <w:r>
        <w:tab/>
      </w:r>
      <w:r w:rsidRPr="003D2037">
        <w:rPr>
          <w:position w:val="-10"/>
        </w:rPr>
        <w:object w:dxaOrig="1840" w:dyaOrig="320" w14:anchorId="6E21021A">
          <v:shape id="_x0000_i1113" type="#_x0000_t75" style="width:92pt;height:16pt" o:ole="">
            <v:imagedata r:id="rId191" o:title=""/>
          </v:shape>
          <o:OLEObject Type="Embed" ProgID="Equation.DSMT4" ShapeID="_x0000_i1113" DrawAspect="Content" ObjectID="_1820671080" r:id="rId192"/>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18</w:instrText>
        </w:r>
      </w:fldSimple>
      <w:r>
        <w:instrText>)</w:instrText>
      </w:r>
      <w:r>
        <w:fldChar w:fldCharType="end"/>
      </w:r>
    </w:p>
    <w:p w14:paraId="569A4A34" w14:textId="77777777" w:rsidR="003D2037" w:rsidRDefault="00810E41" w:rsidP="00810E41">
      <w:r w:rsidRPr="00810E41">
        <w:t xml:space="preserve">where </w:t>
      </w:r>
      <w:r w:rsidRPr="00810E41">
        <w:rPr>
          <w:position w:val="-6"/>
        </w:rPr>
        <w:object w:dxaOrig="200" w:dyaOrig="279" w14:anchorId="439DD992">
          <v:shape id="_x0000_i1114" type="#_x0000_t75" style="width:10pt;height:14pt" o:ole="">
            <v:imagedata r:id="rId193" o:title=""/>
          </v:shape>
          <o:OLEObject Type="Embed" ProgID="Equation.DSMT4" ShapeID="_x0000_i1114" DrawAspect="Content" ObjectID="_1820671081" r:id="rId194"/>
        </w:object>
      </w:r>
      <w:r w:rsidRPr="00810E41">
        <w:t xml:space="preserve"> is number of parameters and </w:t>
      </w:r>
      <w:r w:rsidRPr="00025957">
        <w:rPr>
          <w:position w:val="-4"/>
        </w:rPr>
        <w:object w:dxaOrig="220" w:dyaOrig="260" w14:anchorId="7FBF4D76">
          <v:shape id="_x0000_i1115" type="#_x0000_t75" style="width:11pt;height:13pt" o:ole="">
            <v:imagedata r:id="rId195" o:title=""/>
          </v:shape>
          <o:OLEObject Type="Embed" ProgID="Equation.DSMT4" ShapeID="_x0000_i1115" DrawAspect="Content" ObjectID="_1820671082" r:id="rId196"/>
        </w:object>
      </w:r>
      <w:r w:rsidRPr="00810E41">
        <w:t xml:space="preserve"> is maximum likelihood. Accuracy assessment employed confusion matrix analysis with overall accuracy </w:t>
      </w:r>
      <w:r w:rsidRPr="00810E41">
        <w:rPr>
          <w:position w:val="-28"/>
        </w:rPr>
        <w:object w:dxaOrig="1480" w:dyaOrig="680" w14:anchorId="39E35876">
          <v:shape id="_x0000_i1116" type="#_x0000_t75" style="width:74pt;height:34pt" o:ole="">
            <v:imagedata r:id="rId197" o:title=""/>
          </v:shape>
          <o:OLEObject Type="Embed" ProgID="Equation.DSMT4" ShapeID="_x0000_i1116" DrawAspect="Content" ObjectID="_1820671083" r:id="rId198"/>
        </w:object>
      </w:r>
      <w:r w:rsidRPr="00810E41">
        <w:t xml:space="preserve"> and Kappa </w:t>
      </w:r>
      <w:r w:rsidRPr="00810E41">
        <w:lastRenderedPageBreak/>
        <w:t xml:space="preserve">coefficient </w:t>
      </w:r>
    </w:p>
    <w:p w14:paraId="204ABFA9" w14:textId="0E2C68A4" w:rsidR="003D2037" w:rsidRDefault="003D2037" w:rsidP="003D2037">
      <w:pPr>
        <w:pStyle w:val="MTDisplayEquation"/>
      </w:pPr>
      <w:r>
        <w:tab/>
      </w:r>
      <w:r w:rsidRPr="003D2037">
        <w:rPr>
          <w:position w:val="-30"/>
        </w:rPr>
        <w:object w:dxaOrig="1200" w:dyaOrig="680" w14:anchorId="3B1579A2">
          <v:shape id="_x0000_i1117" type="#_x0000_t75" style="width:60pt;height:34pt" o:ole="">
            <v:imagedata r:id="rId199" o:title=""/>
          </v:shape>
          <o:OLEObject Type="Embed" ProgID="Equation.DSMT4" ShapeID="_x0000_i1117" DrawAspect="Content" ObjectID="_1820671084" r:id="rId20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A5E9B">
          <w:rPr>
            <w:noProof/>
          </w:rPr>
          <w:instrText>19</w:instrText>
        </w:r>
      </w:fldSimple>
      <w:r>
        <w:instrText>)</w:instrText>
      </w:r>
      <w:r>
        <w:fldChar w:fldCharType="end"/>
      </w:r>
    </w:p>
    <w:p w14:paraId="6CAEB4ED" w14:textId="324E758D" w:rsidR="00810E41" w:rsidRPr="00810E41" w:rsidRDefault="00810E41" w:rsidP="00810E41">
      <w:r w:rsidRPr="00810E41">
        <w:t xml:space="preserve">where </w:t>
      </w:r>
      <w:r w:rsidRPr="00810E41">
        <w:rPr>
          <w:position w:val="-12"/>
        </w:rPr>
        <w:object w:dxaOrig="300" w:dyaOrig="360" w14:anchorId="24418F77">
          <v:shape id="_x0000_i1118" type="#_x0000_t75" style="width:15pt;height:18pt" o:ole="">
            <v:imagedata r:id="rId201" o:title=""/>
          </v:shape>
          <o:OLEObject Type="Embed" ProgID="Equation.DSMT4" ShapeID="_x0000_i1118" DrawAspect="Content" ObjectID="_1820671085" r:id="rId202"/>
        </w:object>
      </w:r>
      <w:r w:rsidRPr="00810E41">
        <w:t xml:space="preserve"> is observed agreement and </w:t>
      </w:r>
      <w:r w:rsidRPr="00810E41">
        <w:rPr>
          <w:position w:val="-12"/>
        </w:rPr>
        <w:object w:dxaOrig="279" w:dyaOrig="360" w14:anchorId="18AA642F">
          <v:shape id="_x0000_i1119" type="#_x0000_t75" style="width:14pt;height:18pt" o:ole="">
            <v:imagedata r:id="rId203" o:title=""/>
          </v:shape>
          <o:OLEObject Type="Embed" ProgID="Equation.DSMT4" ShapeID="_x0000_i1119" DrawAspect="Content" ObjectID="_1820671086" r:id="rId204"/>
        </w:object>
      </w:r>
      <w:r w:rsidRPr="00810E41">
        <w:t xml:space="preserve"> is expected agreement by chance.</w:t>
      </w:r>
    </w:p>
    <w:bookmarkEnd w:id="3"/>
    <w:p w14:paraId="2B22C7DF" w14:textId="359D3EED" w:rsidR="00FC4262" w:rsidRPr="00FC4262" w:rsidRDefault="00FC4262" w:rsidP="00FC4262">
      <w:pPr>
        <w:pStyle w:val="2"/>
      </w:pPr>
      <w:r w:rsidRPr="00FC4262">
        <w:t>3</w:t>
      </w:r>
      <w:r w:rsidR="008E04E4">
        <w:t xml:space="preserve"> </w:t>
      </w:r>
      <w:r w:rsidRPr="00FC4262">
        <w:t>Experiment</w:t>
      </w:r>
    </w:p>
    <w:p w14:paraId="705A7194" w14:textId="4CE00F39" w:rsidR="00FC4262" w:rsidRDefault="00FC4262" w:rsidP="00FC4262">
      <w:pPr>
        <w:pStyle w:val="3"/>
      </w:pPr>
      <w:r w:rsidRPr="00FC4262">
        <w:t>3.1 Experimental Design</w:t>
      </w:r>
    </w:p>
    <w:p w14:paraId="40CFC0AB" w14:textId="77777777" w:rsidR="005A5E9B" w:rsidRDefault="005A5E9B" w:rsidP="005A5E9B">
      <w:r w:rsidRPr="005A5E9B">
        <w:t xml:space="preserve">The experimental design employed a nested hierarchical approach integrating spatial gradients with temporal replication to capture vegetation restoration dynamics across multiple scales. Control sites were selected using stratified random sampling from undisturbed areas &gt;50 km from any industrial facility, with vegetation characteristics matching pre-disturbance conditions based on historical Landsat archives from 1985-1990. The spatial design followed an exponential distance decay model: </w:t>
      </w:r>
    </w:p>
    <w:p w14:paraId="31756A3F" w14:textId="525EC32E" w:rsidR="005A5E9B" w:rsidRDefault="005A5E9B" w:rsidP="005A5E9B">
      <w:pPr>
        <w:pStyle w:val="MTDisplayEquation"/>
      </w:pPr>
      <w:r>
        <w:tab/>
      </w:r>
      <w:r w:rsidRPr="005A5E9B">
        <w:rPr>
          <w:position w:val="-12"/>
        </w:rPr>
        <w:object w:dxaOrig="1500" w:dyaOrig="380" w14:anchorId="314B4743">
          <v:shape id="_x0000_i1120" type="#_x0000_t75" style="width:75pt;height:19pt" o:ole="">
            <v:imagedata r:id="rId205" o:title=""/>
          </v:shape>
          <o:OLEObject Type="Embed" ProgID="Equation.DSMT4" ShapeID="_x0000_i1120" DrawAspect="Content" ObjectID="_1820671087" r:id="rId20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20</w:instrText>
        </w:r>
      </w:fldSimple>
      <w:r>
        <w:instrText>)</w:instrText>
      </w:r>
      <w:r>
        <w:fldChar w:fldCharType="end"/>
      </w:r>
    </w:p>
    <w:p w14:paraId="48B8F8A2" w14:textId="1872964D" w:rsidR="005A5E9B" w:rsidRPr="005A5E9B" w:rsidRDefault="005A5E9B" w:rsidP="005A5E9B">
      <w:r w:rsidRPr="005A5E9B">
        <w:t xml:space="preserve">where </w:t>
      </w:r>
      <w:r w:rsidRPr="005A5E9B">
        <w:rPr>
          <w:position w:val="-10"/>
        </w:rPr>
        <w:object w:dxaOrig="499" w:dyaOrig="320" w14:anchorId="4A6A5BA6">
          <v:shape id="_x0000_i1121" type="#_x0000_t75" style="width:25pt;height:16pt" o:ole="">
            <v:imagedata r:id="rId207" o:title=""/>
          </v:shape>
          <o:OLEObject Type="Embed" ProgID="Equation.DSMT4" ShapeID="_x0000_i1121" DrawAspect="Content" ObjectID="_1820671088" r:id="rId208"/>
        </w:object>
      </w:r>
      <w:r w:rsidRPr="005A5E9B">
        <w:t xml:space="preserve"> represents impact intensity at distance </w:t>
      </w:r>
      <w:r w:rsidRPr="005A5E9B">
        <w:rPr>
          <w:position w:val="-6"/>
        </w:rPr>
        <w:object w:dxaOrig="220" w:dyaOrig="279" w14:anchorId="311E7453">
          <v:shape id="_x0000_i1122" type="#_x0000_t75" style="width:11pt;height:14pt" o:ole="">
            <v:imagedata r:id="rId209" o:title=""/>
          </v:shape>
          <o:OLEObject Type="Embed" ProgID="Equation.DSMT4" ShapeID="_x0000_i1122" DrawAspect="Content" ObjectID="_1820671089" r:id="rId210"/>
        </w:object>
      </w:r>
      <w:r w:rsidRPr="005A5E9B">
        <w:t xml:space="preserve">, </w:t>
      </w:r>
      <w:r w:rsidRPr="005A5E9B">
        <w:rPr>
          <w:position w:val="-12"/>
        </w:rPr>
        <w:object w:dxaOrig="240" w:dyaOrig="360" w14:anchorId="0EE84B4F">
          <v:shape id="_x0000_i1123" type="#_x0000_t75" style="width:12pt;height:18pt" o:ole="">
            <v:imagedata r:id="rId211" o:title=""/>
          </v:shape>
          <o:OLEObject Type="Embed" ProgID="Equation.DSMT4" ShapeID="_x0000_i1123" DrawAspect="Content" ObjectID="_1820671090" r:id="rId212"/>
        </w:object>
      </w:r>
      <w:r w:rsidRPr="005A5E9B">
        <w:t xml:space="preserve"> is initial impact at source, and </w:t>
      </w:r>
      <w:r w:rsidRPr="005A5E9B">
        <w:rPr>
          <w:position w:val="-6"/>
        </w:rPr>
        <w:object w:dxaOrig="999" w:dyaOrig="279" w14:anchorId="054AC66F">
          <v:shape id="_x0000_i1124" type="#_x0000_t75" style="width:50pt;height:14pt" o:ole="">
            <v:imagedata r:id="rId213" o:title=""/>
          </v:shape>
          <o:OLEObject Type="Embed" ProgID="Equation.DSMT4" ShapeID="_x0000_i1124" DrawAspect="Content" ObjectID="_1820671091" r:id="rId214"/>
        </w:object>
      </w:r>
      <w:r w:rsidRPr="005A5E9B">
        <w:t xml:space="preserve"> km</w:t>
      </w:r>
      <w:r w:rsidRPr="005A5E9B">
        <w:rPr>
          <w:rFonts w:ascii="MS Gothic" w:eastAsia="MS Gothic" w:hAnsi="MS Gothic" w:cs="MS Gothic" w:hint="eastAsia"/>
        </w:rPr>
        <w:t>⁻</w:t>
      </w:r>
      <w:r w:rsidRPr="005A5E9B">
        <w:rPr>
          <w:rFonts w:hint="eastAsia"/>
        </w:rPr>
        <w:t>¹</w:t>
      </w:r>
      <w:r w:rsidRPr="005A5E9B">
        <w:t xml:space="preserve"> is the decay constant empirically determined from preliminary surveys. Treatment sites were distributed across ten distance bands (0-5, 5-10, 10-15, ..., 45-50 km) with three replicate transects per band oriented along prevailing wind directions (NE, E, SE) to capture directional effects of atmospheric deposition.</w:t>
      </w:r>
    </w:p>
    <w:p w14:paraId="7B274653" w14:textId="4292A94C" w:rsidR="005A5E9B" w:rsidRPr="005A5E9B" w:rsidRDefault="005A5E9B" w:rsidP="005A5E9B">
      <w:r w:rsidRPr="005A5E9B">
        <w:t xml:space="preserve">Temporal monitoring followed a hierarchical nested design with measurements at multiple frequencies: </w:t>
      </w:r>
      <w:r w:rsidRPr="005A5E9B">
        <w:rPr>
          <w:position w:val="-12"/>
        </w:rPr>
        <w:object w:dxaOrig="1120" w:dyaOrig="360" w14:anchorId="53115172">
          <v:shape id="_x0000_i1125" type="#_x0000_t75" style="width:56pt;height:18pt" o:ole="">
            <v:imagedata r:id="rId215" o:title=""/>
          </v:shape>
          <o:OLEObject Type="Embed" ProgID="Equation.DSMT4" ShapeID="_x0000_i1125" DrawAspect="Content" ObjectID="_1820671092" r:id="rId216"/>
        </w:object>
      </w:r>
      <w:r w:rsidRPr="005A5E9B">
        <w:t xml:space="preserve"> days for Landsat acquisitions, </w:t>
      </w:r>
      <w:r w:rsidRPr="005A5E9B">
        <w:rPr>
          <w:position w:val="-14"/>
        </w:rPr>
        <w:object w:dxaOrig="980" w:dyaOrig="380" w14:anchorId="318BE6B6">
          <v:shape id="_x0000_i1126" type="#_x0000_t75" style="width:49pt;height:19pt" o:ole="">
            <v:imagedata r:id="rId217" o:title=""/>
          </v:shape>
          <o:OLEObject Type="Embed" ProgID="Equation.DSMT4" ShapeID="_x0000_i1126" DrawAspect="Content" ObjectID="_1820671093" r:id="rId218"/>
        </w:object>
      </w:r>
      <w:r w:rsidRPr="005A5E9B">
        <w:t xml:space="preserve"> days for seasonal surveys, and </w:t>
      </w:r>
      <w:r w:rsidRPr="005A5E9B">
        <w:rPr>
          <w:position w:val="-12"/>
        </w:rPr>
        <w:object w:dxaOrig="1219" w:dyaOrig="360" w14:anchorId="645053B2">
          <v:shape id="_x0000_i1127" type="#_x0000_t75" style="width:61pt;height:18pt" o:ole="">
            <v:imagedata r:id="rId219" o:title=""/>
          </v:shape>
          <o:OLEObject Type="Embed" ProgID="Equation.DSMT4" ShapeID="_x0000_i1127" DrawAspect="Content" ObjectID="_1820671094" r:id="rId220"/>
        </w:object>
      </w:r>
      <w:r w:rsidRPr="005A5E9B">
        <w:t xml:space="preserve"> days for comprehensive assessments. Seasonal observation windows were defined as 45-day periods centered on phenological milestones: spring green-up (DOY 90-135), summer peak (DOY 166-211), autumn senescence (DOY 244-289), and winter dormancy (DOY 335-380 and 1-45). The multi-year comparison framework spanned 2019-2023, encompassing both pre-restoration baseline (2019) and post-restoration monitoring (2020-2023) phases. Table 4 summarizes the integrated </w:t>
      </w:r>
      <w:proofErr w:type="spellStart"/>
      <w:r w:rsidRPr="005A5E9B">
        <w:t>spatio</w:t>
      </w:r>
      <w:proofErr w:type="spellEnd"/>
      <w:r w:rsidRPr="005A5E9B">
        <w:t>-temporal experimental design parameters.</w:t>
      </w:r>
    </w:p>
    <w:p w14:paraId="2CC1D870" w14:textId="77777777" w:rsidR="005A5E9B" w:rsidRPr="005A5E9B" w:rsidRDefault="005A5E9B" w:rsidP="005A5E9B">
      <w:pPr>
        <w:jc w:val="center"/>
      </w:pPr>
      <w:r w:rsidRPr="005A5E9B">
        <w:rPr>
          <w:b/>
          <w:bCs/>
        </w:rPr>
        <w:t>Table 4.</w:t>
      </w:r>
      <w:r w:rsidRPr="005A5E9B">
        <w:t xml:space="preserve"> Experimental design parameters for vegetation restoration monitoring</w:t>
      </w:r>
    </w:p>
    <w:tbl>
      <w:tblPr>
        <w:tblStyle w:val="11"/>
        <w:tblW w:w="0" w:type="auto"/>
        <w:tblLook w:val="04A0" w:firstRow="1" w:lastRow="0" w:firstColumn="1" w:lastColumn="0" w:noHBand="0" w:noVBand="1"/>
      </w:tblPr>
      <w:tblGrid>
        <w:gridCol w:w="1844"/>
        <w:gridCol w:w="2078"/>
        <w:gridCol w:w="2938"/>
        <w:gridCol w:w="1283"/>
      </w:tblGrid>
      <w:tr w:rsidR="005A5E9B" w:rsidRPr="005A5E9B" w14:paraId="116CFDA5" w14:textId="77777777" w:rsidTr="005A5E9B">
        <w:trPr>
          <w:cnfStyle w:val="100000000000" w:firstRow="1" w:lastRow="0" w:firstColumn="0" w:lastColumn="0" w:oddVBand="0" w:evenVBand="0" w:oddHBand="0" w:evenHBand="0" w:firstRowFirstColumn="0" w:firstRowLastColumn="0" w:lastRowFirstColumn="0" w:lastRowLastColumn="0"/>
        </w:trPr>
        <w:tc>
          <w:tcPr>
            <w:tcW w:w="0" w:type="auto"/>
            <w:hideMark/>
          </w:tcPr>
          <w:p w14:paraId="239904F3" w14:textId="77777777" w:rsidR="005A5E9B" w:rsidRPr="005A5E9B" w:rsidRDefault="005A5E9B" w:rsidP="005A5E9B">
            <w:pPr>
              <w:jc w:val="center"/>
              <w:rPr>
                <w:b/>
                <w:bCs/>
              </w:rPr>
            </w:pPr>
            <w:r w:rsidRPr="005A5E9B">
              <w:rPr>
                <w:b/>
                <w:bCs/>
              </w:rPr>
              <w:t>Design Component</w:t>
            </w:r>
          </w:p>
        </w:tc>
        <w:tc>
          <w:tcPr>
            <w:tcW w:w="0" w:type="auto"/>
            <w:hideMark/>
          </w:tcPr>
          <w:p w14:paraId="405FA3F6" w14:textId="77777777" w:rsidR="005A5E9B" w:rsidRPr="005A5E9B" w:rsidRDefault="005A5E9B" w:rsidP="005A5E9B">
            <w:pPr>
              <w:jc w:val="center"/>
              <w:rPr>
                <w:b/>
                <w:bCs/>
              </w:rPr>
            </w:pPr>
            <w:r w:rsidRPr="005A5E9B">
              <w:rPr>
                <w:b/>
                <w:bCs/>
              </w:rPr>
              <w:t>Spatial Configuration</w:t>
            </w:r>
          </w:p>
        </w:tc>
        <w:tc>
          <w:tcPr>
            <w:tcW w:w="0" w:type="auto"/>
            <w:hideMark/>
          </w:tcPr>
          <w:p w14:paraId="3021EB5C" w14:textId="77777777" w:rsidR="005A5E9B" w:rsidRPr="005A5E9B" w:rsidRDefault="005A5E9B" w:rsidP="005A5E9B">
            <w:pPr>
              <w:jc w:val="center"/>
              <w:rPr>
                <w:b/>
                <w:bCs/>
              </w:rPr>
            </w:pPr>
            <w:r w:rsidRPr="005A5E9B">
              <w:rPr>
                <w:b/>
                <w:bCs/>
              </w:rPr>
              <w:t>Temporal Configuration</w:t>
            </w:r>
          </w:p>
        </w:tc>
        <w:tc>
          <w:tcPr>
            <w:tcW w:w="0" w:type="auto"/>
            <w:hideMark/>
          </w:tcPr>
          <w:p w14:paraId="204EFDD8" w14:textId="77777777" w:rsidR="005A5E9B" w:rsidRPr="005A5E9B" w:rsidRDefault="005A5E9B" w:rsidP="005A5E9B">
            <w:pPr>
              <w:jc w:val="center"/>
              <w:rPr>
                <w:b/>
                <w:bCs/>
              </w:rPr>
            </w:pPr>
            <w:r w:rsidRPr="005A5E9B">
              <w:rPr>
                <w:b/>
                <w:bCs/>
              </w:rPr>
              <w:t>Replication</w:t>
            </w:r>
          </w:p>
        </w:tc>
      </w:tr>
      <w:tr w:rsidR="005A5E9B" w:rsidRPr="005A5E9B" w14:paraId="386767C0" w14:textId="77777777" w:rsidTr="005A5E9B">
        <w:tc>
          <w:tcPr>
            <w:tcW w:w="0" w:type="auto"/>
            <w:hideMark/>
          </w:tcPr>
          <w:p w14:paraId="1D4B62EF" w14:textId="77777777" w:rsidR="005A5E9B" w:rsidRPr="005A5E9B" w:rsidRDefault="005A5E9B" w:rsidP="005A5E9B">
            <w:pPr>
              <w:jc w:val="center"/>
            </w:pPr>
            <w:r w:rsidRPr="005A5E9B">
              <w:t>Control Sites</w:t>
            </w:r>
          </w:p>
        </w:tc>
        <w:tc>
          <w:tcPr>
            <w:tcW w:w="0" w:type="auto"/>
            <w:hideMark/>
          </w:tcPr>
          <w:p w14:paraId="701F22F1" w14:textId="77777777" w:rsidR="005A5E9B" w:rsidRPr="005A5E9B" w:rsidRDefault="005A5E9B" w:rsidP="005A5E9B">
            <w:pPr>
              <w:jc w:val="center"/>
            </w:pPr>
            <w:r w:rsidRPr="005A5E9B">
              <w:t>&gt;50 km from facilities</w:t>
            </w:r>
          </w:p>
        </w:tc>
        <w:tc>
          <w:tcPr>
            <w:tcW w:w="0" w:type="auto"/>
            <w:hideMark/>
          </w:tcPr>
          <w:p w14:paraId="758C79A0" w14:textId="77777777" w:rsidR="005A5E9B" w:rsidRPr="005A5E9B" w:rsidRDefault="005A5E9B" w:rsidP="005A5E9B">
            <w:pPr>
              <w:jc w:val="center"/>
            </w:pPr>
            <w:r w:rsidRPr="005A5E9B">
              <w:t>Continuous monitoring</w:t>
            </w:r>
          </w:p>
        </w:tc>
        <w:tc>
          <w:tcPr>
            <w:tcW w:w="0" w:type="auto"/>
            <w:hideMark/>
          </w:tcPr>
          <w:p w14:paraId="2922D58E" w14:textId="77777777" w:rsidR="005A5E9B" w:rsidRPr="005A5E9B" w:rsidRDefault="005A5E9B" w:rsidP="005A5E9B">
            <w:pPr>
              <w:jc w:val="center"/>
            </w:pPr>
            <w:r w:rsidRPr="005A5E9B">
              <w:t>n=12 sites</w:t>
            </w:r>
          </w:p>
        </w:tc>
      </w:tr>
      <w:tr w:rsidR="005A5E9B" w:rsidRPr="005A5E9B" w14:paraId="2C1F1F1D" w14:textId="77777777" w:rsidTr="005A5E9B">
        <w:tc>
          <w:tcPr>
            <w:tcW w:w="0" w:type="auto"/>
            <w:hideMark/>
          </w:tcPr>
          <w:p w14:paraId="72040F4F" w14:textId="77777777" w:rsidR="005A5E9B" w:rsidRPr="005A5E9B" w:rsidRDefault="005A5E9B" w:rsidP="005A5E9B">
            <w:pPr>
              <w:jc w:val="center"/>
            </w:pPr>
            <w:r w:rsidRPr="005A5E9B">
              <w:t>Near Zone</w:t>
            </w:r>
          </w:p>
        </w:tc>
        <w:tc>
          <w:tcPr>
            <w:tcW w:w="0" w:type="auto"/>
            <w:hideMark/>
          </w:tcPr>
          <w:p w14:paraId="20CC2C62" w14:textId="77777777" w:rsidR="005A5E9B" w:rsidRPr="005A5E9B" w:rsidRDefault="005A5E9B" w:rsidP="005A5E9B">
            <w:pPr>
              <w:jc w:val="center"/>
            </w:pPr>
            <w:r w:rsidRPr="005A5E9B">
              <w:t>0-10 km, 3 transects</w:t>
            </w:r>
          </w:p>
        </w:tc>
        <w:tc>
          <w:tcPr>
            <w:tcW w:w="0" w:type="auto"/>
            <w:hideMark/>
          </w:tcPr>
          <w:p w14:paraId="53CF679E" w14:textId="77777777" w:rsidR="005A5E9B" w:rsidRPr="005A5E9B" w:rsidRDefault="005A5E9B" w:rsidP="005A5E9B">
            <w:pPr>
              <w:jc w:val="center"/>
            </w:pPr>
            <w:r w:rsidRPr="005A5E9B">
              <w:t>16-day satellite, 90-day field</w:t>
            </w:r>
          </w:p>
        </w:tc>
        <w:tc>
          <w:tcPr>
            <w:tcW w:w="0" w:type="auto"/>
            <w:hideMark/>
          </w:tcPr>
          <w:p w14:paraId="56C70531" w14:textId="77777777" w:rsidR="005A5E9B" w:rsidRPr="005A5E9B" w:rsidRDefault="005A5E9B" w:rsidP="005A5E9B">
            <w:pPr>
              <w:jc w:val="center"/>
            </w:pPr>
            <w:r w:rsidRPr="005A5E9B">
              <w:t>n=36 plots</w:t>
            </w:r>
          </w:p>
        </w:tc>
      </w:tr>
      <w:tr w:rsidR="005A5E9B" w:rsidRPr="005A5E9B" w14:paraId="63452747" w14:textId="77777777" w:rsidTr="005A5E9B">
        <w:tc>
          <w:tcPr>
            <w:tcW w:w="0" w:type="auto"/>
            <w:hideMark/>
          </w:tcPr>
          <w:p w14:paraId="40F96E1B" w14:textId="77777777" w:rsidR="005A5E9B" w:rsidRPr="005A5E9B" w:rsidRDefault="005A5E9B" w:rsidP="005A5E9B">
            <w:pPr>
              <w:jc w:val="center"/>
            </w:pPr>
            <w:r w:rsidRPr="005A5E9B">
              <w:t>Middle Zone</w:t>
            </w:r>
          </w:p>
        </w:tc>
        <w:tc>
          <w:tcPr>
            <w:tcW w:w="0" w:type="auto"/>
            <w:hideMark/>
          </w:tcPr>
          <w:p w14:paraId="3C01E218" w14:textId="77777777" w:rsidR="005A5E9B" w:rsidRPr="005A5E9B" w:rsidRDefault="005A5E9B" w:rsidP="005A5E9B">
            <w:pPr>
              <w:jc w:val="center"/>
            </w:pPr>
            <w:r w:rsidRPr="005A5E9B">
              <w:t>10-25 km, 3 transects</w:t>
            </w:r>
          </w:p>
        </w:tc>
        <w:tc>
          <w:tcPr>
            <w:tcW w:w="0" w:type="auto"/>
            <w:hideMark/>
          </w:tcPr>
          <w:p w14:paraId="2F4B75DB" w14:textId="77777777" w:rsidR="005A5E9B" w:rsidRPr="005A5E9B" w:rsidRDefault="005A5E9B" w:rsidP="005A5E9B">
            <w:pPr>
              <w:jc w:val="center"/>
            </w:pPr>
            <w:r w:rsidRPr="005A5E9B">
              <w:t>16-day satellite, 90-day field</w:t>
            </w:r>
          </w:p>
        </w:tc>
        <w:tc>
          <w:tcPr>
            <w:tcW w:w="0" w:type="auto"/>
            <w:hideMark/>
          </w:tcPr>
          <w:p w14:paraId="7CF522CE" w14:textId="77777777" w:rsidR="005A5E9B" w:rsidRPr="005A5E9B" w:rsidRDefault="005A5E9B" w:rsidP="005A5E9B">
            <w:pPr>
              <w:jc w:val="center"/>
            </w:pPr>
            <w:r w:rsidRPr="005A5E9B">
              <w:t>n=45 plots</w:t>
            </w:r>
          </w:p>
        </w:tc>
      </w:tr>
      <w:tr w:rsidR="005A5E9B" w:rsidRPr="005A5E9B" w14:paraId="4C43ACF4" w14:textId="77777777" w:rsidTr="005A5E9B">
        <w:tc>
          <w:tcPr>
            <w:tcW w:w="0" w:type="auto"/>
            <w:hideMark/>
          </w:tcPr>
          <w:p w14:paraId="6F00C51A" w14:textId="77777777" w:rsidR="005A5E9B" w:rsidRPr="005A5E9B" w:rsidRDefault="005A5E9B" w:rsidP="005A5E9B">
            <w:pPr>
              <w:jc w:val="center"/>
            </w:pPr>
            <w:r w:rsidRPr="005A5E9B">
              <w:t>Far Zone</w:t>
            </w:r>
          </w:p>
        </w:tc>
        <w:tc>
          <w:tcPr>
            <w:tcW w:w="0" w:type="auto"/>
            <w:hideMark/>
          </w:tcPr>
          <w:p w14:paraId="0B966F62" w14:textId="77777777" w:rsidR="005A5E9B" w:rsidRPr="005A5E9B" w:rsidRDefault="005A5E9B" w:rsidP="005A5E9B">
            <w:pPr>
              <w:jc w:val="center"/>
            </w:pPr>
            <w:r w:rsidRPr="005A5E9B">
              <w:t>25-50 km, 3 transects</w:t>
            </w:r>
          </w:p>
        </w:tc>
        <w:tc>
          <w:tcPr>
            <w:tcW w:w="0" w:type="auto"/>
            <w:hideMark/>
          </w:tcPr>
          <w:p w14:paraId="253BBCAC" w14:textId="77777777" w:rsidR="005A5E9B" w:rsidRPr="005A5E9B" w:rsidRDefault="005A5E9B" w:rsidP="005A5E9B">
            <w:pPr>
              <w:jc w:val="center"/>
            </w:pPr>
            <w:r w:rsidRPr="005A5E9B">
              <w:t>16-day satellite, 90-day field</w:t>
            </w:r>
          </w:p>
        </w:tc>
        <w:tc>
          <w:tcPr>
            <w:tcW w:w="0" w:type="auto"/>
            <w:hideMark/>
          </w:tcPr>
          <w:p w14:paraId="7FC1E38E" w14:textId="77777777" w:rsidR="005A5E9B" w:rsidRPr="005A5E9B" w:rsidRDefault="005A5E9B" w:rsidP="005A5E9B">
            <w:pPr>
              <w:jc w:val="center"/>
            </w:pPr>
            <w:r w:rsidRPr="005A5E9B">
              <w:t>n=45 plots</w:t>
            </w:r>
          </w:p>
        </w:tc>
      </w:tr>
      <w:tr w:rsidR="005A5E9B" w:rsidRPr="005A5E9B" w14:paraId="670AA008" w14:textId="77777777" w:rsidTr="005A5E9B">
        <w:tc>
          <w:tcPr>
            <w:tcW w:w="0" w:type="auto"/>
            <w:hideMark/>
          </w:tcPr>
          <w:p w14:paraId="5B4EFBE8" w14:textId="77777777" w:rsidR="005A5E9B" w:rsidRPr="005A5E9B" w:rsidRDefault="005A5E9B" w:rsidP="005A5E9B">
            <w:pPr>
              <w:jc w:val="center"/>
            </w:pPr>
            <w:r w:rsidRPr="005A5E9B">
              <w:t>Seasonal Windows</w:t>
            </w:r>
          </w:p>
        </w:tc>
        <w:tc>
          <w:tcPr>
            <w:tcW w:w="0" w:type="auto"/>
            <w:hideMark/>
          </w:tcPr>
          <w:p w14:paraId="0022E95F" w14:textId="77777777" w:rsidR="005A5E9B" w:rsidRPr="005A5E9B" w:rsidRDefault="005A5E9B" w:rsidP="005A5E9B">
            <w:pPr>
              <w:jc w:val="center"/>
            </w:pPr>
            <w:r w:rsidRPr="005A5E9B">
              <w:t>Fixed plot locations</w:t>
            </w:r>
          </w:p>
        </w:tc>
        <w:tc>
          <w:tcPr>
            <w:tcW w:w="0" w:type="auto"/>
            <w:hideMark/>
          </w:tcPr>
          <w:p w14:paraId="565F9F2D" w14:textId="77777777" w:rsidR="005A5E9B" w:rsidRPr="005A5E9B" w:rsidRDefault="005A5E9B" w:rsidP="005A5E9B">
            <w:pPr>
              <w:jc w:val="center"/>
            </w:pPr>
            <w:r w:rsidRPr="005A5E9B">
              <w:t>Spring, Summer, Autumn, Winter</w:t>
            </w:r>
          </w:p>
        </w:tc>
        <w:tc>
          <w:tcPr>
            <w:tcW w:w="0" w:type="auto"/>
            <w:hideMark/>
          </w:tcPr>
          <w:p w14:paraId="2D6A6DFF" w14:textId="77777777" w:rsidR="005A5E9B" w:rsidRPr="005A5E9B" w:rsidRDefault="005A5E9B" w:rsidP="005A5E9B">
            <w:pPr>
              <w:jc w:val="center"/>
            </w:pPr>
            <w:r w:rsidRPr="005A5E9B">
              <w:t>4× per year</w:t>
            </w:r>
          </w:p>
        </w:tc>
      </w:tr>
      <w:tr w:rsidR="005A5E9B" w:rsidRPr="005A5E9B" w14:paraId="1F4784D1" w14:textId="77777777" w:rsidTr="005A5E9B">
        <w:tc>
          <w:tcPr>
            <w:tcW w:w="0" w:type="auto"/>
            <w:hideMark/>
          </w:tcPr>
          <w:p w14:paraId="1DAA4F4A" w14:textId="77777777" w:rsidR="005A5E9B" w:rsidRPr="005A5E9B" w:rsidRDefault="005A5E9B" w:rsidP="005A5E9B">
            <w:pPr>
              <w:jc w:val="center"/>
            </w:pPr>
            <w:r w:rsidRPr="005A5E9B">
              <w:t>Annual Assessment</w:t>
            </w:r>
          </w:p>
        </w:tc>
        <w:tc>
          <w:tcPr>
            <w:tcW w:w="0" w:type="auto"/>
            <w:hideMark/>
          </w:tcPr>
          <w:p w14:paraId="29B09171" w14:textId="77777777" w:rsidR="005A5E9B" w:rsidRPr="005A5E9B" w:rsidRDefault="005A5E9B" w:rsidP="005A5E9B">
            <w:pPr>
              <w:jc w:val="center"/>
            </w:pPr>
            <w:r w:rsidRPr="005A5E9B">
              <w:t>All zones and transects</w:t>
            </w:r>
          </w:p>
        </w:tc>
        <w:tc>
          <w:tcPr>
            <w:tcW w:w="0" w:type="auto"/>
            <w:hideMark/>
          </w:tcPr>
          <w:p w14:paraId="75C8616E" w14:textId="77777777" w:rsidR="005A5E9B" w:rsidRPr="005A5E9B" w:rsidRDefault="005A5E9B" w:rsidP="005A5E9B">
            <w:pPr>
              <w:jc w:val="center"/>
            </w:pPr>
            <w:r w:rsidRPr="005A5E9B">
              <w:t>Year-end comprehensive survey</w:t>
            </w:r>
          </w:p>
        </w:tc>
        <w:tc>
          <w:tcPr>
            <w:tcW w:w="0" w:type="auto"/>
            <w:hideMark/>
          </w:tcPr>
          <w:p w14:paraId="234EC0CF" w14:textId="6DB571E3" w:rsidR="005A5E9B" w:rsidRPr="005A5E9B" w:rsidRDefault="005A5E9B" w:rsidP="005A5E9B">
            <w:pPr>
              <w:jc w:val="center"/>
            </w:pPr>
            <w:r w:rsidRPr="005A5E9B">
              <w:t>5-year series</w:t>
            </w:r>
            <w:r>
              <w:t>.</w:t>
            </w:r>
          </w:p>
        </w:tc>
      </w:tr>
    </w:tbl>
    <w:p w14:paraId="7BAB31C9" w14:textId="31377BE7" w:rsidR="00FC4262" w:rsidRDefault="00FC4262" w:rsidP="00FC4262">
      <w:pPr>
        <w:pStyle w:val="3"/>
      </w:pPr>
      <w:r w:rsidRPr="00FC4262">
        <w:t>3.2 Data Processing Results</w:t>
      </w:r>
    </w:p>
    <w:p w14:paraId="4ECA54FB" w14:textId="77777777" w:rsidR="002053E7" w:rsidRPr="002053E7" w:rsidRDefault="002053E7" w:rsidP="002053E7">
      <w:r w:rsidRPr="002053E7">
        <w:t xml:space="preserve">Land cover classification of multi-temporal Sentinel-2 imagery employed Support Vector Machine </w:t>
      </w:r>
      <w:r w:rsidRPr="002053E7">
        <w:lastRenderedPageBreak/>
        <w:t>(SVM) with radial basis function kernel, achieving convergence at γ=0.125 and C=100 after grid search optimization. The classification scheme distinguished eight land cover types relevant to vegetation restoration monitoring: dense forest (canopy cover &gt;70%), moderate forest (40-70%), sparse forest (10-40%), shrubland, grassland, agricultural land, bare soil, and built-up areas. Spatial distribution analysis revealed a clear gradient of forest degradation extending approximately 15 km from the power facility, with dense forest coverage declining from 48.3% in control areas to merely 8.7% within 5 km of the facility. The vegetation type mapping process integrated phenological features from seasonal composites, improving separability between spectrally similar classes such as shrubland and sparse forest by 23.4% compared to single-date classification.</w:t>
      </w:r>
    </w:p>
    <w:p w14:paraId="432AFE65" w14:textId="77777777" w:rsidR="002053E7" w:rsidRPr="002053E7" w:rsidRDefault="002053E7" w:rsidP="002053E7">
      <w:r w:rsidRPr="002053E7">
        <w:t>Vegetation index temporal analysis across 2019-2023 revealed distinctive seasonal patterns modulated by proximity to power facilities. NDVI trajectories showed maximum seasonal amplitude in undisturbed areas (ΔNDVI = 0.58±0.07) compared to suppressed dynamics near facilities (ΔNDVI = 0.31±0.09), indicating chronic stress effects on phenological cycles. EVI demonstrated superior sensitivity in detecting early-stage vegetation recovery, particularly during spring green-up when atmospheric effects were most pronounced. The comparative analysis revealed that while NDVI reached saturation at LAI values above 4.5, EVI maintained near-linear response up to LAI 6.2, making it more suitable for monitoring dense vegetation recovery. Figure 2 presents the spatiotemporal patterns of vegetation indices across the study area, illustrating both seasonal cycles and multi-year recovery trends.</w:t>
      </w:r>
    </w:p>
    <w:p w14:paraId="40CD5B7C" w14:textId="3D9901DB" w:rsidR="002053E7" w:rsidRDefault="007456F3" w:rsidP="002053E7">
      <w:r w:rsidRPr="007456F3">
        <w:rPr>
          <w:noProof/>
        </w:rPr>
        <w:drawing>
          <wp:inline distT="0" distB="0" distL="0" distR="0" wp14:anchorId="7FC30EA0" wp14:editId="0CCEBA9A">
            <wp:extent cx="2501534" cy="175646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0"/>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519809" cy="1769299"/>
                    </a:xfrm>
                    <a:prstGeom prst="rect">
                      <a:avLst/>
                    </a:prstGeom>
                    <a:noFill/>
                    <a:ln>
                      <a:noFill/>
                    </a:ln>
                  </pic:spPr>
                </pic:pic>
              </a:graphicData>
            </a:graphic>
          </wp:inline>
        </w:drawing>
      </w:r>
      <w:r w:rsidRPr="007456F3">
        <w:rPr>
          <w:noProof/>
        </w:rPr>
        <w:drawing>
          <wp:inline distT="0" distB="0" distL="0" distR="0" wp14:anchorId="0A39092A" wp14:editId="12A5BA1B">
            <wp:extent cx="2599211" cy="1733456"/>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1"/>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608638" cy="1739743"/>
                    </a:xfrm>
                    <a:prstGeom prst="rect">
                      <a:avLst/>
                    </a:prstGeom>
                    <a:noFill/>
                    <a:ln>
                      <a:noFill/>
                    </a:ln>
                  </pic:spPr>
                </pic:pic>
              </a:graphicData>
            </a:graphic>
          </wp:inline>
        </w:drawing>
      </w:r>
    </w:p>
    <w:p w14:paraId="3308ACBA" w14:textId="27B9DA9B" w:rsidR="007456F3" w:rsidRDefault="007456F3" w:rsidP="002053E7">
      <w:r w:rsidRPr="007456F3">
        <w:t>(a) NDVI Temporal Dynamics by Distance from Facility(b) Seasonal NDVI vs EVI Comparison</w:t>
      </w:r>
    </w:p>
    <w:p w14:paraId="507696D5" w14:textId="0C4E094A" w:rsidR="007456F3" w:rsidRDefault="000A037D" w:rsidP="002053E7">
      <w:r w:rsidRPr="000A037D">
        <w:rPr>
          <w:noProof/>
        </w:rPr>
        <w:drawing>
          <wp:inline distT="0" distB="0" distL="0" distR="0" wp14:anchorId="49DB3616" wp14:editId="6A44FCA8">
            <wp:extent cx="2464093" cy="1770147"/>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2"/>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479327" cy="1781090"/>
                    </a:xfrm>
                    <a:prstGeom prst="rect">
                      <a:avLst/>
                    </a:prstGeom>
                    <a:noFill/>
                    <a:ln>
                      <a:noFill/>
                    </a:ln>
                  </pic:spPr>
                </pic:pic>
              </a:graphicData>
            </a:graphic>
          </wp:inline>
        </w:drawing>
      </w:r>
      <w:r w:rsidRPr="000A037D">
        <w:rPr>
          <w:noProof/>
        </w:rPr>
        <w:drawing>
          <wp:inline distT="0" distB="0" distL="0" distR="0" wp14:anchorId="0717CE3D" wp14:editId="57583BCD">
            <wp:extent cx="2376665" cy="1692947"/>
            <wp:effectExtent l="0" t="0" r="508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3"/>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380714" cy="1695831"/>
                    </a:xfrm>
                    <a:prstGeom prst="rect">
                      <a:avLst/>
                    </a:prstGeom>
                    <a:noFill/>
                    <a:ln>
                      <a:noFill/>
                    </a:ln>
                  </pic:spPr>
                </pic:pic>
              </a:graphicData>
            </a:graphic>
          </wp:inline>
        </w:drawing>
      </w:r>
    </w:p>
    <w:p w14:paraId="472AE214" w14:textId="66E47C34" w:rsidR="007456F3" w:rsidRDefault="007456F3" w:rsidP="002053E7">
      <w:r w:rsidRPr="007456F3">
        <w:t>(c) Spatial NDVI Gradient (Summer 2023</w:t>
      </w:r>
      <w:proofErr w:type="gramStart"/>
      <w:r w:rsidRPr="007456F3">
        <w:t>)</w:t>
      </w:r>
      <w:r>
        <w:t xml:space="preserve">  </w:t>
      </w:r>
      <w:r w:rsidRPr="007456F3">
        <w:t>(</w:t>
      </w:r>
      <w:proofErr w:type="gramEnd"/>
      <w:r w:rsidRPr="007456F3">
        <w:t>d) Annual Recovery Rates by Zone</w:t>
      </w:r>
    </w:p>
    <w:p w14:paraId="33136232" w14:textId="2073980B" w:rsidR="002053E7" w:rsidRDefault="002053E7" w:rsidP="002053E7">
      <w:pPr>
        <w:jc w:val="center"/>
      </w:pPr>
      <w:r>
        <w:rPr>
          <w:rFonts w:hint="eastAsia"/>
        </w:rPr>
        <w:t>Fig</w:t>
      </w:r>
      <w:r>
        <w:t>.2</w:t>
      </w:r>
      <w:r w:rsidR="007456F3" w:rsidRPr="007456F3">
        <w:t>Spatiotemporal vegetation index patterns</w:t>
      </w:r>
    </w:p>
    <w:p w14:paraId="30AB14F0" w14:textId="114F8736" w:rsidR="002053E7" w:rsidRPr="002053E7" w:rsidRDefault="002053E7" w:rsidP="002053E7">
      <w:r w:rsidRPr="002053E7">
        <w:rPr>
          <w:b/>
          <w:bCs/>
        </w:rPr>
        <w:t>Figure 2</w:t>
      </w:r>
      <w:r w:rsidRPr="002053E7">
        <w:t xml:space="preserve"> Spatiotemporal patterns of vegetation indices in power facility impact zones showing (a) NDVI temporal dynamics demonstrating recovery trends, (b) seasonal comparison of NDVI and EVI sensitivity, (c) spatial gradient of summer NDVI values, and (d) annual recovery rates across distance zones</w:t>
      </w:r>
    </w:p>
    <w:p w14:paraId="580DEE87" w14:textId="270CC9EB" w:rsidR="002053E7" w:rsidRPr="002053E7" w:rsidRDefault="002053E7" w:rsidP="002053E7">
      <w:r w:rsidRPr="002053E7">
        <w:lastRenderedPageBreak/>
        <w:t>Classification accuracy assessment using stratified random sampling of 500 validation points per class revealed overall accuracy of 86.4% with Kappa coefficient of 0.842, indicating substantial agreement between classified and reference data. The error matrix analysis identified systematic confusion between transitional vegetation classes, particularly in areas undergoing active restoration where spectral signatures were unstable. Producer's accuracy was highest for water bodies (96.8%) and built-up areas (94.2%), while shrubland showed the lowest accuracy (76.5%) due to spectral overlap with sparse forest. User's accuracy patterns indicated that bare soil was most reliably mapped (95.3%), while agricultural land showed highest commission errors (18.7%) due to seasonal variability in crop phenology. Table 5 summarizes the classification performance metrics across all land cover categories.</w:t>
      </w:r>
    </w:p>
    <w:p w14:paraId="2984A03D" w14:textId="77777777" w:rsidR="002053E7" w:rsidRPr="002053E7" w:rsidRDefault="002053E7" w:rsidP="002053E7">
      <w:pPr>
        <w:jc w:val="center"/>
      </w:pPr>
      <w:r w:rsidRPr="002053E7">
        <w:rPr>
          <w:b/>
          <w:bCs/>
        </w:rPr>
        <w:t>Table 5.</w:t>
      </w:r>
      <w:r w:rsidRPr="002053E7">
        <w:t xml:space="preserve"> Land cover classification accuracy assessment metrics</w:t>
      </w:r>
    </w:p>
    <w:tbl>
      <w:tblPr>
        <w:tblStyle w:val="11"/>
        <w:tblW w:w="0" w:type="auto"/>
        <w:tblLook w:val="04A0" w:firstRow="1" w:lastRow="0" w:firstColumn="1" w:lastColumn="0" w:noHBand="0" w:noVBand="1"/>
      </w:tblPr>
      <w:tblGrid>
        <w:gridCol w:w="1318"/>
        <w:gridCol w:w="854"/>
        <w:gridCol w:w="1428"/>
        <w:gridCol w:w="1243"/>
        <w:gridCol w:w="758"/>
        <w:gridCol w:w="1480"/>
        <w:gridCol w:w="1225"/>
      </w:tblGrid>
      <w:tr w:rsidR="002053E7" w:rsidRPr="002053E7" w14:paraId="2592A0F1" w14:textId="77777777" w:rsidTr="002053E7">
        <w:trPr>
          <w:cnfStyle w:val="100000000000" w:firstRow="1" w:lastRow="0" w:firstColumn="0" w:lastColumn="0" w:oddVBand="0" w:evenVBand="0" w:oddHBand="0" w:evenHBand="0" w:firstRowFirstColumn="0" w:firstRowLastColumn="0" w:lastRowFirstColumn="0" w:lastRowLastColumn="0"/>
        </w:trPr>
        <w:tc>
          <w:tcPr>
            <w:tcW w:w="0" w:type="auto"/>
            <w:hideMark/>
          </w:tcPr>
          <w:p w14:paraId="60040CEA" w14:textId="77777777" w:rsidR="002053E7" w:rsidRPr="002053E7" w:rsidRDefault="002053E7" w:rsidP="002053E7">
            <w:pPr>
              <w:jc w:val="center"/>
              <w:rPr>
                <w:b/>
                <w:bCs/>
              </w:rPr>
            </w:pPr>
            <w:r w:rsidRPr="002053E7">
              <w:rPr>
                <w:b/>
                <w:bCs/>
              </w:rPr>
              <w:t>Land Cover Class</w:t>
            </w:r>
          </w:p>
        </w:tc>
        <w:tc>
          <w:tcPr>
            <w:tcW w:w="0" w:type="auto"/>
            <w:hideMark/>
          </w:tcPr>
          <w:p w14:paraId="16705529" w14:textId="77777777" w:rsidR="002053E7" w:rsidRPr="002053E7" w:rsidRDefault="002053E7" w:rsidP="002053E7">
            <w:pPr>
              <w:jc w:val="center"/>
              <w:rPr>
                <w:b/>
                <w:bCs/>
              </w:rPr>
            </w:pPr>
            <w:r w:rsidRPr="002053E7">
              <w:rPr>
                <w:b/>
                <w:bCs/>
              </w:rPr>
              <w:t>Area (km²)</w:t>
            </w:r>
          </w:p>
        </w:tc>
        <w:tc>
          <w:tcPr>
            <w:tcW w:w="0" w:type="auto"/>
            <w:hideMark/>
          </w:tcPr>
          <w:p w14:paraId="6E7FCBCD" w14:textId="77777777" w:rsidR="002053E7" w:rsidRPr="002053E7" w:rsidRDefault="002053E7" w:rsidP="002053E7">
            <w:pPr>
              <w:jc w:val="center"/>
              <w:rPr>
                <w:b/>
                <w:bCs/>
              </w:rPr>
            </w:pPr>
            <w:r w:rsidRPr="002053E7">
              <w:rPr>
                <w:b/>
                <w:bCs/>
              </w:rPr>
              <w:t>Producer's Accuracy (%)</w:t>
            </w:r>
          </w:p>
        </w:tc>
        <w:tc>
          <w:tcPr>
            <w:tcW w:w="0" w:type="auto"/>
            <w:hideMark/>
          </w:tcPr>
          <w:p w14:paraId="37BA635F" w14:textId="77777777" w:rsidR="002053E7" w:rsidRPr="002053E7" w:rsidRDefault="002053E7" w:rsidP="002053E7">
            <w:pPr>
              <w:jc w:val="center"/>
              <w:rPr>
                <w:b/>
                <w:bCs/>
              </w:rPr>
            </w:pPr>
            <w:r w:rsidRPr="002053E7">
              <w:rPr>
                <w:b/>
                <w:bCs/>
              </w:rPr>
              <w:t>User's Accuracy (%)</w:t>
            </w:r>
          </w:p>
        </w:tc>
        <w:tc>
          <w:tcPr>
            <w:tcW w:w="0" w:type="auto"/>
            <w:hideMark/>
          </w:tcPr>
          <w:p w14:paraId="0482FC92" w14:textId="77777777" w:rsidR="002053E7" w:rsidRPr="002053E7" w:rsidRDefault="002053E7" w:rsidP="002053E7">
            <w:pPr>
              <w:jc w:val="center"/>
              <w:rPr>
                <w:b/>
                <w:bCs/>
              </w:rPr>
            </w:pPr>
            <w:r w:rsidRPr="002053E7">
              <w:rPr>
                <w:b/>
                <w:bCs/>
              </w:rPr>
              <w:t>F1-Score</w:t>
            </w:r>
          </w:p>
        </w:tc>
        <w:tc>
          <w:tcPr>
            <w:tcW w:w="0" w:type="auto"/>
            <w:hideMark/>
          </w:tcPr>
          <w:p w14:paraId="30202456" w14:textId="77777777" w:rsidR="002053E7" w:rsidRPr="002053E7" w:rsidRDefault="002053E7" w:rsidP="002053E7">
            <w:pPr>
              <w:jc w:val="center"/>
              <w:rPr>
                <w:b/>
                <w:bCs/>
              </w:rPr>
            </w:pPr>
            <w:r w:rsidRPr="002053E7">
              <w:rPr>
                <w:b/>
                <w:bCs/>
              </w:rPr>
              <w:t>Commission Error (%)</w:t>
            </w:r>
          </w:p>
        </w:tc>
        <w:tc>
          <w:tcPr>
            <w:tcW w:w="0" w:type="auto"/>
            <w:hideMark/>
          </w:tcPr>
          <w:p w14:paraId="5C1ED307" w14:textId="77777777" w:rsidR="002053E7" w:rsidRPr="002053E7" w:rsidRDefault="002053E7" w:rsidP="002053E7">
            <w:pPr>
              <w:jc w:val="center"/>
              <w:rPr>
                <w:b/>
                <w:bCs/>
              </w:rPr>
            </w:pPr>
            <w:r w:rsidRPr="002053E7">
              <w:rPr>
                <w:b/>
                <w:bCs/>
              </w:rPr>
              <w:t>Omission Error (%)</w:t>
            </w:r>
          </w:p>
        </w:tc>
      </w:tr>
      <w:tr w:rsidR="002053E7" w:rsidRPr="002053E7" w14:paraId="1248A85E" w14:textId="77777777" w:rsidTr="002053E7">
        <w:tc>
          <w:tcPr>
            <w:tcW w:w="0" w:type="auto"/>
            <w:hideMark/>
          </w:tcPr>
          <w:p w14:paraId="0534F886" w14:textId="77777777" w:rsidR="002053E7" w:rsidRPr="002053E7" w:rsidRDefault="002053E7" w:rsidP="002053E7">
            <w:pPr>
              <w:jc w:val="center"/>
            </w:pPr>
            <w:r w:rsidRPr="002053E7">
              <w:t>Dense Forest</w:t>
            </w:r>
          </w:p>
        </w:tc>
        <w:tc>
          <w:tcPr>
            <w:tcW w:w="0" w:type="auto"/>
            <w:hideMark/>
          </w:tcPr>
          <w:p w14:paraId="5C2EDE48" w14:textId="77777777" w:rsidR="002053E7" w:rsidRPr="002053E7" w:rsidRDefault="002053E7" w:rsidP="002053E7">
            <w:pPr>
              <w:jc w:val="center"/>
            </w:pPr>
            <w:r w:rsidRPr="002053E7">
              <w:t>142.3</w:t>
            </w:r>
          </w:p>
        </w:tc>
        <w:tc>
          <w:tcPr>
            <w:tcW w:w="0" w:type="auto"/>
            <w:hideMark/>
          </w:tcPr>
          <w:p w14:paraId="0D125371" w14:textId="77777777" w:rsidR="002053E7" w:rsidRPr="002053E7" w:rsidRDefault="002053E7" w:rsidP="002053E7">
            <w:pPr>
              <w:jc w:val="center"/>
            </w:pPr>
            <w:r w:rsidRPr="002053E7">
              <w:t>91.2</w:t>
            </w:r>
          </w:p>
        </w:tc>
        <w:tc>
          <w:tcPr>
            <w:tcW w:w="0" w:type="auto"/>
            <w:hideMark/>
          </w:tcPr>
          <w:p w14:paraId="1317BD04" w14:textId="77777777" w:rsidR="002053E7" w:rsidRPr="002053E7" w:rsidRDefault="002053E7" w:rsidP="002053E7">
            <w:pPr>
              <w:jc w:val="center"/>
            </w:pPr>
            <w:r w:rsidRPr="002053E7">
              <w:t>88.6</w:t>
            </w:r>
          </w:p>
        </w:tc>
        <w:tc>
          <w:tcPr>
            <w:tcW w:w="0" w:type="auto"/>
            <w:hideMark/>
          </w:tcPr>
          <w:p w14:paraId="10BB0751" w14:textId="77777777" w:rsidR="002053E7" w:rsidRPr="002053E7" w:rsidRDefault="002053E7" w:rsidP="002053E7">
            <w:pPr>
              <w:jc w:val="center"/>
            </w:pPr>
            <w:r w:rsidRPr="002053E7">
              <w:t>0.899</w:t>
            </w:r>
          </w:p>
        </w:tc>
        <w:tc>
          <w:tcPr>
            <w:tcW w:w="0" w:type="auto"/>
            <w:hideMark/>
          </w:tcPr>
          <w:p w14:paraId="72145F20" w14:textId="77777777" w:rsidR="002053E7" w:rsidRPr="002053E7" w:rsidRDefault="002053E7" w:rsidP="002053E7">
            <w:pPr>
              <w:jc w:val="center"/>
            </w:pPr>
            <w:r w:rsidRPr="002053E7">
              <w:t>11.4</w:t>
            </w:r>
          </w:p>
        </w:tc>
        <w:tc>
          <w:tcPr>
            <w:tcW w:w="0" w:type="auto"/>
            <w:hideMark/>
          </w:tcPr>
          <w:p w14:paraId="12925161" w14:textId="77777777" w:rsidR="002053E7" w:rsidRPr="002053E7" w:rsidRDefault="002053E7" w:rsidP="002053E7">
            <w:pPr>
              <w:jc w:val="center"/>
            </w:pPr>
            <w:r w:rsidRPr="002053E7">
              <w:t>8.8</w:t>
            </w:r>
          </w:p>
        </w:tc>
      </w:tr>
      <w:tr w:rsidR="002053E7" w:rsidRPr="002053E7" w14:paraId="3006C028" w14:textId="77777777" w:rsidTr="002053E7">
        <w:tc>
          <w:tcPr>
            <w:tcW w:w="0" w:type="auto"/>
            <w:hideMark/>
          </w:tcPr>
          <w:p w14:paraId="086FE57C" w14:textId="77777777" w:rsidR="002053E7" w:rsidRPr="002053E7" w:rsidRDefault="002053E7" w:rsidP="002053E7">
            <w:pPr>
              <w:jc w:val="center"/>
            </w:pPr>
            <w:r w:rsidRPr="002053E7">
              <w:t>Moderate Forest</w:t>
            </w:r>
          </w:p>
        </w:tc>
        <w:tc>
          <w:tcPr>
            <w:tcW w:w="0" w:type="auto"/>
            <w:hideMark/>
          </w:tcPr>
          <w:p w14:paraId="47C37686" w14:textId="77777777" w:rsidR="002053E7" w:rsidRPr="002053E7" w:rsidRDefault="002053E7" w:rsidP="002053E7">
            <w:pPr>
              <w:jc w:val="center"/>
            </w:pPr>
            <w:r w:rsidRPr="002053E7">
              <w:t>186.7</w:t>
            </w:r>
          </w:p>
        </w:tc>
        <w:tc>
          <w:tcPr>
            <w:tcW w:w="0" w:type="auto"/>
            <w:hideMark/>
          </w:tcPr>
          <w:p w14:paraId="30A6E087" w14:textId="77777777" w:rsidR="002053E7" w:rsidRPr="002053E7" w:rsidRDefault="002053E7" w:rsidP="002053E7">
            <w:pPr>
              <w:jc w:val="center"/>
            </w:pPr>
            <w:r w:rsidRPr="002053E7">
              <w:t>84.3</w:t>
            </w:r>
          </w:p>
        </w:tc>
        <w:tc>
          <w:tcPr>
            <w:tcW w:w="0" w:type="auto"/>
            <w:hideMark/>
          </w:tcPr>
          <w:p w14:paraId="0D005976" w14:textId="77777777" w:rsidR="002053E7" w:rsidRPr="002053E7" w:rsidRDefault="002053E7" w:rsidP="002053E7">
            <w:pPr>
              <w:jc w:val="center"/>
            </w:pPr>
            <w:r w:rsidRPr="002053E7">
              <w:t>82.1</w:t>
            </w:r>
          </w:p>
        </w:tc>
        <w:tc>
          <w:tcPr>
            <w:tcW w:w="0" w:type="auto"/>
            <w:hideMark/>
          </w:tcPr>
          <w:p w14:paraId="6174C31B" w14:textId="77777777" w:rsidR="002053E7" w:rsidRPr="002053E7" w:rsidRDefault="002053E7" w:rsidP="002053E7">
            <w:pPr>
              <w:jc w:val="center"/>
            </w:pPr>
            <w:r w:rsidRPr="002053E7">
              <w:t>0.832</w:t>
            </w:r>
          </w:p>
        </w:tc>
        <w:tc>
          <w:tcPr>
            <w:tcW w:w="0" w:type="auto"/>
            <w:hideMark/>
          </w:tcPr>
          <w:p w14:paraId="576DC856" w14:textId="77777777" w:rsidR="002053E7" w:rsidRPr="002053E7" w:rsidRDefault="002053E7" w:rsidP="002053E7">
            <w:pPr>
              <w:jc w:val="center"/>
            </w:pPr>
            <w:r w:rsidRPr="002053E7">
              <w:t>17.9</w:t>
            </w:r>
          </w:p>
        </w:tc>
        <w:tc>
          <w:tcPr>
            <w:tcW w:w="0" w:type="auto"/>
            <w:hideMark/>
          </w:tcPr>
          <w:p w14:paraId="29AB69CE" w14:textId="77777777" w:rsidR="002053E7" w:rsidRPr="002053E7" w:rsidRDefault="002053E7" w:rsidP="002053E7">
            <w:pPr>
              <w:jc w:val="center"/>
            </w:pPr>
            <w:r w:rsidRPr="002053E7">
              <w:t>15.7</w:t>
            </w:r>
          </w:p>
        </w:tc>
      </w:tr>
      <w:tr w:rsidR="002053E7" w:rsidRPr="002053E7" w14:paraId="729179E1" w14:textId="77777777" w:rsidTr="002053E7">
        <w:tc>
          <w:tcPr>
            <w:tcW w:w="0" w:type="auto"/>
            <w:hideMark/>
          </w:tcPr>
          <w:p w14:paraId="0E067A7A" w14:textId="77777777" w:rsidR="002053E7" w:rsidRPr="002053E7" w:rsidRDefault="002053E7" w:rsidP="002053E7">
            <w:pPr>
              <w:jc w:val="center"/>
            </w:pPr>
            <w:r w:rsidRPr="002053E7">
              <w:t>Sparse Forest</w:t>
            </w:r>
          </w:p>
        </w:tc>
        <w:tc>
          <w:tcPr>
            <w:tcW w:w="0" w:type="auto"/>
            <w:hideMark/>
          </w:tcPr>
          <w:p w14:paraId="299559C9" w14:textId="77777777" w:rsidR="002053E7" w:rsidRPr="002053E7" w:rsidRDefault="002053E7" w:rsidP="002053E7">
            <w:pPr>
              <w:jc w:val="center"/>
            </w:pPr>
            <w:r w:rsidRPr="002053E7">
              <w:t>234.5</w:t>
            </w:r>
          </w:p>
        </w:tc>
        <w:tc>
          <w:tcPr>
            <w:tcW w:w="0" w:type="auto"/>
            <w:hideMark/>
          </w:tcPr>
          <w:p w14:paraId="61A24816" w14:textId="77777777" w:rsidR="002053E7" w:rsidRPr="002053E7" w:rsidRDefault="002053E7" w:rsidP="002053E7">
            <w:pPr>
              <w:jc w:val="center"/>
            </w:pPr>
            <w:r w:rsidRPr="002053E7">
              <w:t>78.6</w:t>
            </w:r>
          </w:p>
        </w:tc>
        <w:tc>
          <w:tcPr>
            <w:tcW w:w="0" w:type="auto"/>
            <w:hideMark/>
          </w:tcPr>
          <w:p w14:paraId="29B46C8E" w14:textId="77777777" w:rsidR="002053E7" w:rsidRPr="002053E7" w:rsidRDefault="002053E7" w:rsidP="002053E7">
            <w:pPr>
              <w:jc w:val="center"/>
            </w:pPr>
            <w:r w:rsidRPr="002053E7">
              <w:t>81.3</w:t>
            </w:r>
          </w:p>
        </w:tc>
        <w:tc>
          <w:tcPr>
            <w:tcW w:w="0" w:type="auto"/>
            <w:hideMark/>
          </w:tcPr>
          <w:p w14:paraId="09B54108" w14:textId="77777777" w:rsidR="002053E7" w:rsidRPr="002053E7" w:rsidRDefault="002053E7" w:rsidP="002053E7">
            <w:pPr>
              <w:jc w:val="center"/>
            </w:pPr>
            <w:r w:rsidRPr="002053E7">
              <w:t>0.799</w:t>
            </w:r>
          </w:p>
        </w:tc>
        <w:tc>
          <w:tcPr>
            <w:tcW w:w="0" w:type="auto"/>
            <w:hideMark/>
          </w:tcPr>
          <w:p w14:paraId="098C814A" w14:textId="77777777" w:rsidR="002053E7" w:rsidRPr="002053E7" w:rsidRDefault="002053E7" w:rsidP="002053E7">
            <w:pPr>
              <w:jc w:val="center"/>
            </w:pPr>
            <w:r w:rsidRPr="002053E7">
              <w:t>18.7</w:t>
            </w:r>
          </w:p>
        </w:tc>
        <w:tc>
          <w:tcPr>
            <w:tcW w:w="0" w:type="auto"/>
            <w:hideMark/>
          </w:tcPr>
          <w:p w14:paraId="6E489BE4" w14:textId="77777777" w:rsidR="002053E7" w:rsidRPr="002053E7" w:rsidRDefault="002053E7" w:rsidP="002053E7">
            <w:pPr>
              <w:jc w:val="center"/>
            </w:pPr>
            <w:r w:rsidRPr="002053E7">
              <w:t>21.4</w:t>
            </w:r>
          </w:p>
        </w:tc>
      </w:tr>
      <w:tr w:rsidR="002053E7" w:rsidRPr="002053E7" w14:paraId="34B1E4F0" w14:textId="77777777" w:rsidTr="002053E7">
        <w:tc>
          <w:tcPr>
            <w:tcW w:w="0" w:type="auto"/>
            <w:hideMark/>
          </w:tcPr>
          <w:p w14:paraId="51FD96E9" w14:textId="77777777" w:rsidR="002053E7" w:rsidRPr="002053E7" w:rsidRDefault="002053E7" w:rsidP="002053E7">
            <w:pPr>
              <w:jc w:val="center"/>
            </w:pPr>
            <w:r w:rsidRPr="002053E7">
              <w:t>Shrubland</w:t>
            </w:r>
          </w:p>
        </w:tc>
        <w:tc>
          <w:tcPr>
            <w:tcW w:w="0" w:type="auto"/>
            <w:hideMark/>
          </w:tcPr>
          <w:p w14:paraId="08935153" w14:textId="77777777" w:rsidR="002053E7" w:rsidRPr="002053E7" w:rsidRDefault="002053E7" w:rsidP="002053E7">
            <w:pPr>
              <w:jc w:val="center"/>
            </w:pPr>
            <w:r w:rsidRPr="002053E7">
              <w:t>198.2</w:t>
            </w:r>
          </w:p>
        </w:tc>
        <w:tc>
          <w:tcPr>
            <w:tcW w:w="0" w:type="auto"/>
            <w:hideMark/>
          </w:tcPr>
          <w:p w14:paraId="16A3871D" w14:textId="77777777" w:rsidR="002053E7" w:rsidRPr="002053E7" w:rsidRDefault="002053E7" w:rsidP="002053E7">
            <w:pPr>
              <w:jc w:val="center"/>
            </w:pPr>
            <w:r w:rsidRPr="002053E7">
              <w:t>76.5</w:t>
            </w:r>
          </w:p>
        </w:tc>
        <w:tc>
          <w:tcPr>
            <w:tcW w:w="0" w:type="auto"/>
            <w:hideMark/>
          </w:tcPr>
          <w:p w14:paraId="1A833296" w14:textId="77777777" w:rsidR="002053E7" w:rsidRPr="002053E7" w:rsidRDefault="002053E7" w:rsidP="002053E7">
            <w:pPr>
              <w:jc w:val="center"/>
            </w:pPr>
            <w:r w:rsidRPr="002053E7">
              <w:t>79.8</w:t>
            </w:r>
          </w:p>
        </w:tc>
        <w:tc>
          <w:tcPr>
            <w:tcW w:w="0" w:type="auto"/>
            <w:hideMark/>
          </w:tcPr>
          <w:p w14:paraId="3638702C" w14:textId="77777777" w:rsidR="002053E7" w:rsidRPr="002053E7" w:rsidRDefault="002053E7" w:rsidP="002053E7">
            <w:pPr>
              <w:jc w:val="center"/>
            </w:pPr>
            <w:r w:rsidRPr="002053E7">
              <w:t>0.781</w:t>
            </w:r>
          </w:p>
        </w:tc>
        <w:tc>
          <w:tcPr>
            <w:tcW w:w="0" w:type="auto"/>
            <w:hideMark/>
          </w:tcPr>
          <w:p w14:paraId="2E340CFF" w14:textId="77777777" w:rsidR="002053E7" w:rsidRPr="002053E7" w:rsidRDefault="002053E7" w:rsidP="002053E7">
            <w:pPr>
              <w:jc w:val="center"/>
            </w:pPr>
            <w:r w:rsidRPr="002053E7">
              <w:t>20.2</w:t>
            </w:r>
          </w:p>
        </w:tc>
        <w:tc>
          <w:tcPr>
            <w:tcW w:w="0" w:type="auto"/>
            <w:hideMark/>
          </w:tcPr>
          <w:p w14:paraId="1DE35147" w14:textId="77777777" w:rsidR="002053E7" w:rsidRPr="002053E7" w:rsidRDefault="002053E7" w:rsidP="002053E7">
            <w:pPr>
              <w:jc w:val="center"/>
            </w:pPr>
            <w:r w:rsidRPr="002053E7">
              <w:t>23.5</w:t>
            </w:r>
          </w:p>
        </w:tc>
      </w:tr>
      <w:tr w:rsidR="002053E7" w:rsidRPr="002053E7" w14:paraId="24A8AB8B" w14:textId="77777777" w:rsidTr="002053E7">
        <w:tc>
          <w:tcPr>
            <w:tcW w:w="0" w:type="auto"/>
            <w:hideMark/>
          </w:tcPr>
          <w:p w14:paraId="27A8A45B" w14:textId="77777777" w:rsidR="002053E7" w:rsidRPr="002053E7" w:rsidRDefault="002053E7" w:rsidP="002053E7">
            <w:pPr>
              <w:jc w:val="center"/>
            </w:pPr>
            <w:r w:rsidRPr="002053E7">
              <w:t>Grassland</w:t>
            </w:r>
          </w:p>
        </w:tc>
        <w:tc>
          <w:tcPr>
            <w:tcW w:w="0" w:type="auto"/>
            <w:hideMark/>
          </w:tcPr>
          <w:p w14:paraId="0BB5F062" w14:textId="77777777" w:rsidR="002053E7" w:rsidRPr="002053E7" w:rsidRDefault="002053E7" w:rsidP="002053E7">
            <w:pPr>
              <w:jc w:val="center"/>
            </w:pPr>
            <w:r w:rsidRPr="002053E7">
              <w:t>312.4</w:t>
            </w:r>
          </w:p>
        </w:tc>
        <w:tc>
          <w:tcPr>
            <w:tcW w:w="0" w:type="auto"/>
            <w:hideMark/>
          </w:tcPr>
          <w:p w14:paraId="5DD3915A" w14:textId="77777777" w:rsidR="002053E7" w:rsidRPr="002053E7" w:rsidRDefault="002053E7" w:rsidP="002053E7">
            <w:pPr>
              <w:jc w:val="center"/>
            </w:pPr>
            <w:r w:rsidRPr="002053E7">
              <w:t>82.4</w:t>
            </w:r>
          </w:p>
        </w:tc>
        <w:tc>
          <w:tcPr>
            <w:tcW w:w="0" w:type="auto"/>
            <w:hideMark/>
          </w:tcPr>
          <w:p w14:paraId="187C1AEA" w14:textId="77777777" w:rsidR="002053E7" w:rsidRPr="002053E7" w:rsidRDefault="002053E7" w:rsidP="002053E7">
            <w:pPr>
              <w:jc w:val="center"/>
            </w:pPr>
            <w:r w:rsidRPr="002053E7">
              <w:t>85.7</w:t>
            </w:r>
          </w:p>
        </w:tc>
        <w:tc>
          <w:tcPr>
            <w:tcW w:w="0" w:type="auto"/>
            <w:hideMark/>
          </w:tcPr>
          <w:p w14:paraId="6C214817" w14:textId="77777777" w:rsidR="002053E7" w:rsidRPr="002053E7" w:rsidRDefault="002053E7" w:rsidP="002053E7">
            <w:pPr>
              <w:jc w:val="center"/>
            </w:pPr>
            <w:r w:rsidRPr="002053E7">
              <w:t>0.840</w:t>
            </w:r>
          </w:p>
        </w:tc>
        <w:tc>
          <w:tcPr>
            <w:tcW w:w="0" w:type="auto"/>
            <w:hideMark/>
          </w:tcPr>
          <w:p w14:paraId="53D78654" w14:textId="77777777" w:rsidR="002053E7" w:rsidRPr="002053E7" w:rsidRDefault="002053E7" w:rsidP="002053E7">
            <w:pPr>
              <w:jc w:val="center"/>
            </w:pPr>
            <w:r w:rsidRPr="002053E7">
              <w:t>14.3</w:t>
            </w:r>
          </w:p>
        </w:tc>
        <w:tc>
          <w:tcPr>
            <w:tcW w:w="0" w:type="auto"/>
            <w:hideMark/>
          </w:tcPr>
          <w:p w14:paraId="0E49149E" w14:textId="77777777" w:rsidR="002053E7" w:rsidRPr="002053E7" w:rsidRDefault="002053E7" w:rsidP="002053E7">
            <w:pPr>
              <w:jc w:val="center"/>
            </w:pPr>
            <w:r w:rsidRPr="002053E7">
              <w:t>17.6</w:t>
            </w:r>
          </w:p>
        </w:tc>
      </w:tr>
      <w:tr w:rsidR="002053E7" w:rsidRPr="002053E7" w14:paraId="422FDF1E" w14:textId="77777777" w:rsidTr="002053E7">
        <w:tc>
          <w:tcPr>
            <w:tcW w:w="0" w:type="auto"/>
            <w:hideMark/>
          </w:tcPr>
          <w:p w14:paraId="75C9CB89" w14:textId="77777777" w:rsidR="002053E7" w:rsidRPr="002053E7" w:rsidRDefault="002053E7" w:rsidP="002053E7">
            <w:pPr>
              <w:jc w:val="center"/>
            </w:pPr>
            <w:r w:rsidRPr="002053E7">
              <w:t>Agricultural</w:t>
            </w:r>
          </w:p>
        </w:tc>
        <w:tc>
          <w:tcPr>
            <w:tcW w:w="0" w:type="auto"/>
            <w:hideMark/>
          </w:tcPr>
          <w:p w14:paraId="59923104" w14:textId="77777777" w:rsidR="002053E7" w:rsidRPr="002053E7" w:rsidRDefault="002053E7" w:rsidP="002053E7">
            <w:pPr>
              <w:jc w:val="center"/>
            </w:pPr>
            <w:r w:rsidRPr="002053E7">
              <w:t>156.8</w:t>
            </w:r>
          </w:p>
        </w:tc>
        <w:tc>
          <w:tcPr>
            <w:tcW w:w="0" w:type="auto"/>
            <w:hideMark/>
          </w:tcPr>
          <w:p w14:paraId="586F562C" w14:textId="77777777" w:rsidR="002053E7" w:rsidRPr="002053E7" w:rsidRDefault="002053E7" w:rsidP="002053E7">
            <w:pPr>
              <w:jc w:val="center"/>
            </w:pPr>
            <w:r w:rsidRPr="002053E7">
              <w:t>79.3</w:t>
            </w:r>
          </w:p>
        </w:tc>
        <w:tc>
          <w:tcPr>
            <w:tcW w:w="0" w:type="auto"/>
            <w:hideMark/>
          </w:tcPr>
          <w:p w14:paraId="4249A928" w14:textId="77777777" w:rsidR="002053E7" w:rsidRPr="002053E7" w:rsidRDefault="002053E7" w:rsidP="002053E7">
            <w:pPr>
              <w:jc w:val="center"/>
            </w:pPr>
            <w:r w:rsidRPr="002053E7">
              <w:t>81.3</w:t>
            </w:r>
          </w:p>
        </w:tc>
        <w:tc>
          <w:tcPr>
            <w:tcW w:w="0" w:type="auto"/>
            <w:hideMark/>
          </w:tcPr>
          <w:p w14:paraId="1EEB2ED6" w14:textId="77777777" w:rsidR="002053E7" w:rsidRPr="002053E7" w:rsidRDefault="002053E7" w:rsidP="002053E7">
            <w:pPr>
              <w:jc w:val="center"/>
            </w:pPr>
            <w:r w:rsidRPr="002053E7">
              <w:t>0.803</w:t>
            </w:r>
          </w:p>
        </w:tc>
        <w:tc>
          <w:tcPr>
            <w:tcW w:w="0" w:type="auto"/>
            <w:hideMark/>
          </w:tcPr>
          <w:p w14:paraId="3F709046" w14:textId="77777777" w:rsidR="002053E7" w:rsidRPr="002053E7" w:rsidRDefault="002053E7" w:rsidP="002053E7">
            <w:pPr>
              <w:jc w:val="center"/>
            </w:pPr>
            <w:r w:rsidRPr="002053E7">
              <w:t>18.7</w:t>
            </w:r>
          </w:p>
        </w:tc>
        <w:tc>
          <w:tcPr>
            <w:tcW w:w="0" w:type="auto"/>
            <w:hideMark/>
          </w:tcPr>
          <w:p w14:paraId="5C5BA0AC" w14:textId="77777777" w:rsidR="002053E7" w:rsidRPr="002053E7" w:rsidRDefault="002053E7" w:rsidP="002053E7">
            <w:pPr>
              <w:jc w:val="center"/>
            </w:pPr>
            <w:r w:rsidRPr="002053E7">
              <w:t>20.7</w:t>
            </w:r>
          </w:p>
        </w:tc>
      </w:tr>
      <w:tr w:rsidR="002053E7" w:rsidRPr="002053E7" w14:paraId="4D9F196C" w14:textId="77777777" w:rsidTr="002053E7">
        <w:tc>
          <w:tcPr>
            <w:tcW w:w="0" w:type="auto"/>
            <w:hideMark/>
          </w:tcPr>
          <w:p w14:paraId="418F6CAC" w14:textId="77777777" w:rsidR="002053E7" w:rsidRPr="002053E7" w:rsidRDefault="002053E7" w:rsidP="002053E7">
            <w:pPr>
              <w:jc w:val="center"/>
            </w:pPr>
            <w:r w:rsidRPr="002053E7">
              <w:t>Bare Soil</w:t>
            </w:r>
          </w:p>
        </w:tc>
        <w:tc>
          <w:tcPr>
            <w:tcW w:w="0" w:type="auto"/>
            <w:hideMark/>
          </w:tcPr>
          <w:p w14:paraId="3648D61B" w14:textId="77777777" w:rsidR="002053E7" w:rsidRPr="002053E7" w:rsidRDefault="002053E7" w:rsidP="002053E7">
            <w:pPr>
              <w:jc w:val="center"/>
            </w:pPr>
            <w:r w:rsidRPr="002053E7">
              <w:t>89.6</w:t>
            </w:r>
          </w:p>
        </w:tc>
        <w:tc>
          <w:tcPr>
            <w:tcW w:w="0" w:type="auto"/>
            <w:hideMark/>
          </w:tcPr>
          <w:p w14:paraId="234A988F" w14:textId="77777777" w:rsidR="002053E7" w:rsidRPr="002053E7" w:rsidRDefault="002053E7" w:rsidP="002053E7">
            <w:pPr>
              <w:jc w:val="center"/>
            </w:pPr>
            <w:r w:rsidRPr="002053E7">
              <w:t>92.7</w:t>
            </w:r>
          </w:p>
        </w:tc>
        <w:tc>
          <w:tcPr>
            <w:tcW w:w="0" w:type="auto"/>
            <w:hideMark/>
          </w:tcPr>
          <w:p w14:paraId="7FCB7C1D" w14:textId="77777777" w:rsidR="002053E7" w:rsidRPr="002053E7" w:rsidRDefault="002053E7" w:rsidP="002053E7">
            <w:pPr>
              <w:jc w:val="center"/>
            </w:pPr>
            <w:r w:rsidRPr="002053E7">
              <w:t>95.3</w:t>
            </w:r>
          </w:p>
        </w:tc>
        <w:tc>
          <w:tcPr>
            <w:tcW w:w="0" w:type="auto"/>
            <w:hideMark/>
          </w:tcPr>
          <w:p w14:paraId="3C656064" w14:textId="77777777" w:rsidR="002053E7" w:rsidRPr="002053E7" w:rsidRDefault="002053E7" w:rsidP="002053E7">
            <w:pPr>
              <w:jc w:val="center"/>
            </w:pPr>
            <w:r w:rsidRPr="002053E7">
              <w:t>0.940</w:t>
            </w:r>
          </w:p>
        </w:tc>
        <w:tc>
          <w:tcPr>
            <w:tcW w:w="0" w:type="auto"/>
            <w:hideMark/>
          </w:tcPr>
          <w:p w14:paraId="182FBFE9" w14:textId="77777777" w:rsidR="002053E7" w:rsidRPr="002053E7" w:rsidRDefault="002053E7" w:rsidP="002053E7">
            <w:pPr>
              <w:jc w:val="center"/>
            </w:pPr>
            <w:r w:rsidRPr="002053E7">
              <w:t>4.7</w:t>
            </w:r>
          </w:p>
        </w:tc>
        <w:tc>
          <w:tcPr>
            <w:tcW w:w="0" w:type="auto"/>
            <w:hideMark/>
          </w:tcPr>
          <w:p w14:paraId="7AE2107A" w14:textId="77777777" w:rsidR="002053E7" w:rsidRPr="002053E7" w:rsidRDefault="002053E7" w:rsidP="002053E7">
            <w:pPr>
              <w:jc w:val="center"/>
            </w:pPr>
            <w:r w:rsidRPr="002053E7">
              <w:t>7.3</w:t>
            </w:r>
          </w:p>
        </w:tc>
      </w:tr>
      <w:tr w:rsidR="002053E7" w:rsidRPr="002053E7" w14:paraId="3C973902" w14:textId="77777777" w:rsidTr="002053E7">
        <w:tc>
          <w:tcPr>
            <w:tcW w:w="0" w:type="auto"/>
            <w:hideMark/>
          </w:tcPr>
          <w:p w14:paraId="6B9F1CDF" w14:textId="77777777" w:rsidR="002053E7" w:rsidRPr="002053E7" w:rsidRDefault="002053E7" w:rsidP="002053E7">
            <w:pPr>
              <w:jc w:val="center"/>
            </w:pPr>
            <w:r w:rsidRPr="002053E7">
              <w:t>Built-up</w:t>
            </w:r>
          </w:p>
        </w:tc>
        <w:tc>
          <w:tcPr>
            <w:tcW w:w="0" w:type="auto"/>
            <w:hideMark/>
          </w:tcPr>
          <w:p w14:paraId="522392A5" w14:textId="77777777" w:rsidR="002053E7" w:rsidRPr="002053E7" w:rsidRDefault="002053E7" w:rsidP="002053E7">
            <w:pPr>
              <w:jc w:val="center"/>
            </w:pPr>
            <w:r w:rsidRPr="002053E7">
              <w:t>45.2</w:t>
            </w:r>
          </w:p>
        </w:tc>
        <w:tc>
          <w:tcPr>
            <w:tcW w:w="0" w:type="auto"/>
            <w:hideMark/>
          </w:tcPr>
          <w:p w14:paraId="39BD92B1" w14:textId="77777777" w:rsidR="002053E7" w:rsidRPr="002053E7" w:rsidRDefault="002053E7" w:rsidP="002053E7">
            <w:pPr>
              <w:jc w:val="center"/>
            </w:pPr>
            <w:r w:rsidRPr="002053E7">
              <w:t>94.2</w:t>
            </w:r>
          </w:p>
        </w:tc>
        <w:tc>
          <w:tcPr>
            <w:tcW w:w="0" w:type="auto"/>
            <w:hideMark/>
          </w:tcPr>
          <w:p w14:paraId="38B16678" w14:textId="77777777" w:rsidR="002053E7" w:rsidRPr="002053E7" w:rsidRDefault="002053E7" w:rsidP="002053E7">
            <w:pPr>
              <w:jc w:val="center"/>
            </w:pPr>
            <w:r w:rsidRPr="002053E7">
              <w:t>91.8</w:t>
            </w:r>
          </w:p>
        </w:tc>
        <w:tc>
          <w:tcPr>
            <w:tcW w:w="0" w:type="auto"/>
            <w:hideMark/>
          </w:tcPr>
          <w:p w14:paraId="08B4DF17" w14:textId="77777777" w:rsidR="002053E7" w:rsidRPr="002053E7" w:rsidRDefault="002053E7" w:rsidP="002053E7">
            <w:pPr>
              <w:jc w:val="center"/>
            </w:pPr>
            <w:r w:rsidRPr="002053E7">
              <w:t>0.930</w:t>
            </w:r>
          </w:p>
        </w:tc>
        <w:tc>
          <w:tcPr>
            <w:tcW w:w="0" w:type="auto"/>
            <w:hideMark/>
          </w:tcPr>
          <w:p w14:paraId="1DDF3280" w14:textId="77777777" w:rsidR="002053E7" w:rsidRPr="002053E7" w:rsidRDefault="002053E7" w:rsidP="002053E7">
            <w:pPr>
              <w:jc w:val="center"/>
            </w:pPr>
            <w:r w:rsidRPr="002053E7">
              <w:t>8.2</w:t>
            </w:r>
          </w:p>
        </w:tc>
        <w:tc>
          <w:tcPr>
            <w:tcW w:w="0" w:type="auto"/>
            <w:hideMark/>
          </w:tcPr>
          <w:p w14:paraId="16A1145F" w14:textId="77777777" w:rsidR="002053E7" w:rsidRPr="002053E7" w:rsidRDefault="002053E7" w:rsidP="002053E7">
            <w:pPr>
              <w:jc w:val="center"/>
            </w:pPr>
            <w:r w:rsidRPr="002053E7">
              <w:t>5.8</w:t>
            </w:r>
          </w:p>
        </w:tc>
      </w:tr>
      <w:tr w:rsidR="002053E7" w:rsidRPr="002053E7" w14:paraId="334512FE" w14:textId="77777777" w:rsidTr="002053E7">
        <w:tc>
          <w:tcPr>
            <w:tcW w:w="0" w:type="auto"/>
            <w:hideMark/>
          </w:tcPr>
          <w:p w14:paraId="1072D9EC" w14:textId="77777777" w:rsidR="002053E7" w:rsidRPr="002053E7" w:rsidRDefault="002053E7" w:rsidP="002053E7">
            <w:pPr>
              <w:jc w:val="center"/>
            </w:pPr>
            <w:r w:rsidRPr="002053E7">
              <w:rPr>
                <w:b/>
                <w:bCs/>
              </w:rPr>
              <w:t>Overall</w:t>
            </w:r>
          </w:p>
        </w:tc>
        <w:tc>
          <w:tcPr>
            <w:tcW w:w="0" w:type="auto"/>
            <w:hideMark/>
          </w:tcPr>
          <w:p w14:paraId="211EDE32" w14:textId="77777777" w:rsidR="002053E7" w:rsidRPr="002053E7" w:rsidRDefault="002053E7" w:rsidP="002053E7">
            <w:pPr>
              <w:jc w:val="center"/>
            </w:pPr>
            <w:r w:rsidRPr="002053E7">
              <w:rPr>
                <w:b/>
                <w:bCs/>
              </w:rPr>
              <w:t>1365.7</w:t>
            </w:r>
          </w:p>
        </w:tc>
        <w:tc>
          <w:tcPr>
            <w:tcW w:w="0" w:type="auto"/>
            <w:hideMark/>
          </w:tcPr>
          <w:p w14:paraId="383EE521" w14:textId="77777777" w:rsidR="002053E7" w:rsidRPr="002053E7" w:rsidRDefault="002053E7" w:rsidP="002053E7">
            <w:pPr>
              <w:jc w:val="center"/>
            </w:pPr>
            <w:r w:rsidRPr="002053E7">
              <w:rPr>
                <w:b/>
                <w:bCs/>
              </w:rPr>
              <w:t>84.9</w:t>
            </w:r>
          </w:p>
        </w:tc>
        <w:tc>
          <w:tcPr>
            <w:tcW w:w="0" w:type="auto"/>
            <w:hideMark/>
          </w:tcPr>
          <w:p w14:paraId="5FE8E8F8" w14:textId="77777777" w:rsidR="002053E7" w:rsidRPr="002053E7" w:rsidRDefault="002053E7" w:rsidP="002053E7">
            <w:pPr>
              <w:jc w:val="center"/>
            </w:pPr>
            <w:r w:rsidRPr="002053E7">
              <w:rPr>
                <w:b/>
                <w:bCs/>
              </w:rPr>
              <w:t>85.7</w:t>
            </w:r>
          </w:p>
        </w:tc>
        <w:tc>
          <w:tcPr>
            <w:tcW w:w="0" w:type="auto"/>
            <w:hideMark/>
          </w:tcPr>
          <w:p w14:paraId="053E64F6" w14:textId="77777777" w:rsidR="002053E7" w:rsidRPr="002053E7" w:rsidRDefault="002053E7" w:rsidP="002053E7">
            <w:pPr>
              <w:jc w:val="center"/>
            </w:pPr>
            <w:r w:rsidRPr="002053E7">
              <w:rPr>
                <w:b/>
                <w:bCs/>
              </w:rPr>
              <w:t>0.853</w:t>
            </w:r>
          </w:p>
        </w:tc>
        <w:tc>
          <w:tcPr>
            <w:tcW w:w="0" w:type="auto"/>
            <w:hideMark/>
          </w:tcPr>
          <w:p w14:paraId="45B3F64D" w14:textId="77777777" w:rsidR="002053E7" w:rsidRPr="002053E7" w:rsidRDefault="002053E7" w:rsidP="002053E7">
            <w:pPr>
              <w:jc w:val="center"/>
            </w:pPr>
            <w:r w:rsidRPr="002053E7">
              <w:rPr>
                <w:b/>
                <w:bCs/>
              </w:rPr>
              <w:t>14.3</w:t>
            </w:r>
          </w:p>
        </w:tc>
        <w:tc>
          <w:tcPr>
            <w:tcW w:w="0" w:type="auto"/>
            <w:hideMark/>
          </w:tcPr>
          <w:p w14:paraId="23FCC602" w14:textId="77777777" w:rsidR="002053E7" w:rsidRPr="002053E7" w:rsidRDefault="002053E7" w:rsidP="002053E7">
            <w:pPr>
              <w:jc w:val="center"/>
            </w:pPr>
            <w:r w:rsidRPr="002053E7">
              <w:rPr>
                <w:b/>
                <w:bCs/>
              </w:rPr>
              <w:t>15.1</w:t>
            </w:r>
          </w:p>
        </w:tc>
      </w:tr>
    </w:tbl>
    <w:p w14:paraId="7BF6730F" w14:textId="77777777" w:rsidR="002053E7" w:rsidRPr="002053E7" w:rsidRDefault="002053E7" w:rsidP="002053E7">
      <w:r w:rsidRPr="002053E7">
        <w:t>The temporal stability of classification was evaluated through multi-date accuracy assessment, revealing seasonal variations in mapping reliability with highest accuracies during summer (88.2%) when vegetation differences were most pronounced, and lowest during winter (82.1%) when snow cover and dormant vegetation reduced spectral separability.</w:t>
      </w:r>
    </w:p>
    <w:p w14:paraId="2528D5CA" w14:textId="61DF141A" w:rsidR="00FC4262" w:rsidRDefault="00FC4262" w:rsidP="002053E7">
      <w:pPr>
        <w:pStyle w:val="3"/>
      </w:pPr>
      <w:r w:rsidRPr="00FC4262">
        <w:t>3.3 Seasonal Variation Analysis</w:t>
      </w:r>
    </w:p>
    <w:p w14:paraId="4B7304F7" w14:textId="77777777" w:rsidR="007C46F9" w:rsidRPr="007C46F9" w:rsidRDefault="007C46F9" w:rsidP="007C46F9">
      <w:r w:rsidRPr="007C46F9">
        <w:t>Spring vegetation green-up analysis revealed significant phenological delays correlated with proximity to power facilities, with the onset of growing season (SOS) occurring at DOY 92±5 in control areas compared to DOY 108±8 within 10 km of facilities. The green-up rate, quantified as the maximum daily NDVI increase during the spring window, averaged 0.0084 NDVI units/day in undisturbed areas but decreased to 0.0052 units/day in heavily impacted zones. Species composition shifts were most pronounced during spring recruitment, with pioneer species (</w:t>
      </w:r>
      <w:r w:rsidRPr="007C46F9">
        <w:rPr>
          <w:i/>
          <w:iCs/>
        </w:rPr>
        <w:t>Artemisia scoparia</w:t>
      </w:r>
      <w:r w:rsidRPr="007C46F9">
        <w:t xml:space="preserve"> and </w:t>
      </w:r>
      <w:proofErr w:type="spellStart"/>
      <w:r w:rsidRPr="007C46F9">
        <w:rPr>
          <w:i/>
          <w:iCs/>
        </w:rPr>
        <w:t>Setaria</w:t>
      </w:r>
      <w:proofErr w:type="spellEnd"/>
      <w:r w:rsidRPr="007C46F9">
        <w:rPr>
          <w:i/>
          <w:iCs/>
        </w:rPr>
        <w:t xml:space="preserve"> </w:t>
      </w:r>
      <w:proofErr w:type="spellStart"/>
      <w:r w:rsidRPr="007C46F9">
        <w:rPr>
          <w:i/>
          <w:iCs/>
        </w:rPr>
        <w:t>viridis</w:t>
      </w:r>
      <w:proofErr w:type="spellEnd"/>
      <w:r w:rsidRPr="007C46F9">
        <w:t>) increasing from 12% to 43% of total coverage in disturbed areas, while climax forest species showed 68% lower seedling establishment rates. The spring growth phase extended over 45±7 days in control sites versus 58±11 days near facilities, indicating prolonged but less vigorous green-up dynamics under stress conditions.</w:t>
      </w:r>
    </w:p>
    <w:p w14:paraId="169256F8" w14:textId="56D0468A" w:rsidR="007C46F9" w:rsidRPr="007C46F9" w:rsidRDefault="007C46F9" w:rsidP="007C46F9">
      <w:r w:rsidRPr="007C46F9">
        <w:t xml:space="preserve">Summer vegetation assessments captured peak biomass conditions and stress responses across the impact gradient. Maximum NDVI values reached 0.84±0.04 in control forests during late July (DOY 205-215) but peaked at only 0.62±0.08 in the near zone, with temporal shifts showing earlier peak timing (DOY 195±10) suggesting premature growth cessation. Water stress indicators, calculated </w:t>
      </w:r>
      <w:r w:rsidRPr="007C46F9">
        <w:lastRenderedPageBreak/>
        <w:t xml:space="preserve">using the normalized difference water index (NDWI), revealed significant moisture deficits near facilities (NDWI = 0.18±0.05) compared to reference areas (NDWI = 0.34±0.04), correlating with reduced stomatal conductance and lower photosynthetic efficiency. Biomass accumulation showed exponential decay with proximity to facilities following </w:t>
      </w:r>
      <w:r w:rsidR="00ED56F0" w:rsidRPr="00ED56F0">
        <w:rPr>
          <w:position w:val="-12"/>
        </w:rPr>
        <w:object w:dxaOrig="1920" w:dyaOrig="380" w14:anchorId="26AEC827">
          <v:shape id="_x0000_i1128" type="#_x0000_t75" style="width:96pt;height:19pt" o:ole="">
            <v:imagedata r:id="rId225" o:title=""/>
          </v:shape>
          <o:OLEObject Type="Embed" ProgID="Equation.DSMT4" ShapeID="_x0000_i1128" DrawAspect="Content" ObjectID="_1820671095" r:id="rId226"/>
        </w:object>
      </w:r>
      <w:r w:rsidRPr="007C46F9">
        <w:t xml:space="preserve"> where </w:t>
      </w:r>
      <w:r w:rsidR="00ED56F0" w:rsidRPr="00ED56F0">
        <w:rPr>
          <w:position w:val="-12"/>
        </w:rPr>
        <w:object w:dxaOrig="460" w:dyaOrig="360" w14:anchorId="5E68A2AB">
          <v:shape id="_x0000_i1129" type="#_x0000_t75" style="width:23pt;height:18pt" o:ole="">
            <v:imagedata r:id="rId227" o:title=""/>
          </v:shape>
          <o:OLEObject Type="Embed" ProgID="Equation.DSMT4" ShapeID="_x0000_i1129" DrawAspect="Content" ObjectID="_1820671096" r:id="rId228"/>
        </w:object>
      </w:r>
      <w:r w:rsidRPr="007C46F9">
        <w:t xml:space="preserve"> is maximum biomass (t/ha) and d is distance (km), with r²=0.87.</w:t>
      </w:r>
    </w:p>
    <w:p w14:paraId="071F1667" w14:textId="77777777" w:rsidR="007C46F9" w:rsidRPr="007C46F9" w:rsidRDefault="007C46F9" w:rsidP="007C46F9">
      <w:r w:rsidRPr="007C46F9">
        <w:t>Autumn senescence patterns demonstrated accelerated leaf color change and abscission near power facilities, with the senescence rate (SR) calculated as the slope of NDVI decline during DOY 250-300. Control areas exhibited gradual senescence (SR = -0.0046 NDVI units/day) maintaining canopy integrity through mid-November, while impacted zones showed rapid decline (SR = -0.0089 units/day) with complete leaf fall by late October. Phenological transition analysis using double logistic models revealed asymmetric patterns, with spring green-up showing gradual sigmoid curves (shape parameter m</w:t>
      </w:r>
      <w:r w:rsidRPr="007C46F9">
        <w:rPr>
          <w:rFonts w:cs="Times New Roman"/>
        </w:rPr>
        <w:t>₁</w:t>
      </w:r>
      <w:r w:rsidRPr="007C46F9">
        <w:t xml:space="preserve"> = 3.2) while autumn senescence followed steeper transitions (m</w:t>
      </w:r>
      <w:r w:rsidRPr="007C46F9">
        <w:rPr>
          <w:rFonts w:cs="Times New Roman"/>
        </w:rPr>
        <w:t>₂</w:t>
      </w:r>
      <w:r w:rsidRPr="007C46F9">
        <w:t xml:space="preserve"> = 5.8) in stressed vegetation. Restoration stability indicators, measured as inter-annual variability in peak NDVI, decreased from CV = 18.3% near facilities to CV = 7.2% in control areas, suggesting improved ecosystem resilience with distance.</w:t>
      </w:r>
    </w:p>
    <w:p w14:paraId="4EAB2AA2" w14:textId="4FD5BBBA" w:rsidR="007C46F9" w:rsidRPr="007C46F9" w:rsidRDefault="007C46F9" w:rsidP="007C46F9">
      <w:r w:rsidRPr="007C46F9">
        <w:t>Winter dormancy assessments focused on vegetation structure persistence and snow cover interactions affecting restoration trajectories. Evergreen species (</w:t>
      </w:r>
      <w:r w:rsidRPr="007C46F9">
        <w:rPr>
          <w:i/>
          <w:iCs/>
        </w:rPr>
        <w:t xml:space="preserve">Pinus </w:t>
      </w:r>
      <w:proofErr w:type="spellStart"/>
      <w:r w:rsidRPr="007C46F9">
        <w:rPr>
          <w:i/>
          <w:iCs/>
        </w:rPr>
        <w:t>tabuliformis</w:t>
      </w:r>
      <w:proofErr w:type="spellEnd"/>
      <w:r w:rsidRPr="007C46F9">
        <w:t>) maintained higher winter NDVI (0.38±0.06) in control areas compared to stressed populations (0.24±0.08) near facilities, indicating compromised needle retention and potential frost damage. Snow cover duration, extracted from MODIS snow products, averaged 76±12 days in open areas but reduced to 45±8 days under intact forest canopy, creating microclimate refugia important for understory regeneration. The winter baseline NDVI, representing dormant deciduous vegetation and soil background, increased from 0.12±0.03 to 0.18±0.04 along the distance gradient, reflecting improved litter accumulation and soil organic matter in recovering areas.</w:t>
      </w:r>
    </w:p>
    <w:p w14:paraId="70C31D0E" w14:textId="22A68141" w:rsidR="007C46F9" w:rsidRDefault="00B152B2" w:rsidP="00B152B2">
      <w:r w:rsidRPr="00B152B2">
        <w:rPr>
          <w:noProof/>
        </w:rPr>
        <w:drawing>
          <wp:inline distT="0" distB="0" distL="0" distR="0" wp14:anchorId="0690BE50" wp14:editId="47F12375">
            <wp:extent cx="2299335" cy="2330072"/>
            <wp:effectExtent l="0" t="0" r="571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310494" cy="2341380"/>
                    </a:xfrm>
                    <a:prstGeom prst="rect">
                      <a:avLst/>
                    </a:prstGeom>
                    <a:noFill/>
                    <a:ln>
                      <a:noFill/>
                    </a:ln>
                  </pic:spPr>
                </pic:pic>
              </a:graphicData>
            </a:graphic>
          </wp:inline>
        </w:drawing>
      </w:r>
      <w:r w:rsidRPr="00B152B2">
        <w:t xml:space="preserve"> </w:t>
      </w:r>
      <w:r w:rsidRPr="00B152B2">
        <w:rPr>
          <w:noProof/>
        </w:rPr>
        <w:drawing>
          <wp:inline distT="0" distB="0" distL="0" distR="0" wp14:anchorId="31D8745D" wp14:editId="1E768872">
            <wp:extent cx="2510790" cy="2275922"/>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5"/>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2517789" cy="2282266"/>
                    </a:xfrm>
                    <a:prstGeom prst="rect">
                      <a:avLst/>
                    </a:prstGeom>
                    <a:noFill/>
                    <a:ln>
                      <a:noFill/>
                    </a:ln>
                  </pic:spPr>
                </pic:pic>
              </a:graphicData>
            </a:graphic>
          </wp:inline>
        </w:drawing>
      </w:r>
    </w:p>
    <w:p w14:paraId="4CD7BAC2" w14:textId="680479BA" w:rsidR="00B152B2" w:rsidRDefault="00B152B2" w:rsidP="00B152B2">
      <w:pPr>
        <w:ind w:firstLineChars="400" w:firstLine="840"/>
      </w:pPr>
      <w:r w:rsidRPr="00B152B2">
        <w:t>(a) Annual Phenological Curves</w:t>
      </w:r>
      <w:r>
        <w:t xml:space="preserve">   </w:t>
      </w:r>
      <w:proofErr w:type="gramStart"/>
      <w:r>
        <w:t xml:space="preserve">   </w:t>
      </w:r>
      <w:r w:rsidRPr="00B152B2">
        <w:t>(</w:t>
      </w:r>
      <w:proofErr w:type="gramEnd"/>
      <w:r>
        <w:t>b</w:t>
      </w:r>
      <w:r w:rsidRPr="00B152B2">
        <w:t>) Seasonal Stress Indicators</w:t>
      </w:r>
    </w:p>
    <w:p w14:paraId="10768D77" w14:textId="3B8363CD" w:rsidR="00B152B2" w:rsidRDefault="00B152B2" w:rsidP="00B152B2">
      <w:r w:rsidRPr="00B152B2">
        <w:rPr>
          <w:noProof/>
        </w:rPr>
        <w:lastRenderedPageBreak/>
        <w:drawing>
          <wp:inline distT="0" distB="0" distL="0" distR="0" wp14:anchorId="4B011C11" wp14:editId="7911DD16">
            <wp:extent cx="2303780" cy="2376614"/>
            <wp:effectExtent l="0" t="0" r="1270"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6"/>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310555" cy="2383603"/>
                    </a:xfrm>
                    <a:prstGeom prst="rect">
                      <a:avLst/>
                    </a:prstGeom>
                    <a:noFill/>
                    <a:ln>
                      <a:noFill/>
                    </a:ln>
                  </pic:spPr>
                </pic:pic>
              </a:graphicData>
            </a:graphic>
          </wp:inline>
        </w:drawing>
      </w:r>
      <w:r w:rsidRPr="00B152B2">
        <w:t xml:space="preserve"> </w:t>
      </w:r>
      <w:r w:rsidRPr="00B152B2">
        <w:rPr>
          <w:noProof/>
        </w:rPr>
        <w:drawing>
          <wp:inline distT="0" distB="0" distL="0" distR="0" wp14:anchorId="28A425EA" wp14:editId="4FE00F4F">
            <wp:extent cx="2308820" cy="2357906"/>
            <wp:effectExtent l="0" t="0" r="0"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7"/>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324271" cy="2373685"/>
                    </a:xfrm>
                    <a:prstGeom prst="rect">
                      <a:avLst/>
                    </a:prstGeom>
                    <a:noFill/>
                    <a:ln>
                      <a:noFill/>
                    </a:ln>
                  </pic:spPr>
                </pic:pic>
              </a:graphicData>
            </a:graphic>
          </wp:inline>
        </w:drawing>
      </w:r>
    </w:p>
    <w:p w14:paraId="3E3D4547" w14:textId="780D066A" w:rsidR="00B152B2" w:rsidRDefault="00B152B2" w:rsidP="00B152B2">
      <w:pPr>
        <w:ind w:firstLineChars="300" w:firstLine="630"/>
      </w:pPr>
      <w:r w:rsidRPr="00B152B2">
        <w:t>(</w:t>
      </w:r>
      <w:r>
        <w:t>c</w:t>
      </w:r>
      <w:r w:rsidRPr="00B152B2">
        <w:t>) Seasonal Species Dynamics - Impact Zone (</w:t>
      </w:r>
      <w:r>
        <w:t>d</w:t>
      </w:r>
      <w:r w:rsidRPr="00B152B2">
        <w:t>) Seasonal Biomass Accumulation</w:t>
      </w:r>
    </w:p>
    <w:p w14:paraId="05B79DF9" w14:textId="2C971173" w:rsidR="00B152B2" w:rsidRDefault="00B152B2" w:rsidP="00B152B2">
      <w:pPr>
        <w:jc w:val="center"/>
      </w:pPr>
      <w:r w:rsidRPr="00B152B2">
        <w:rPr>
          <w:noProof/>
        </w:rPr>
        <w:drawing>
          <wp:inline distT="0" distB="0" distL="0" distR="0" wp14:anchorId="48E279E0" wp14:editId="3CC4C4D5">
            <wp:extent cx="2312649" cy="221136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8"/>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2330665" cy="2228592"/>
                    </a:xfrm>
                    <a:prstGeom prst="rect">
                      <a:avLst/>
                    </a:prstGeom>
                    <a:noFill/>
                    <a:ln>
                      <a:noFill/>
                    </a:ln>
                  </pic:spPr>
                </pic:pic>
              </a:graphicData>
            </a:graphic>
          </wp:inline>
        </w:drawing>
      </w:r>
    </w:p>
    <w:p w14:paraId="632DA91E" w14:textId="151107F1" w:rsidR="00B152B2" w:rsidRDefault="00B152B2" w:rsidP="00B152B2">
      <w:pPr>
        <w:jc w:val="center"/>
      </w:pPr>
      <w:r w:rsidRPr="00B152B2">
        <w:t>(</w:t>
      </w:r>
      <w:r>
        <w:t>e</w:t>
      </w:r>
      <w:r w:rsidRPr="00B152B2">
        <w:t>) Winter Vegetation Persistence</w:t>
      </w:r>
    </w:p>
    <w:p w14:paraId="3DEB78D1" w14:textId="42CF36D3" w:rsidR="007C46F9" w:rsidRPr="00B152B2" w:rsidRDefault="007C46F9" w:rsidP="007C46F9">
      <w:pPr>
        <w:jc w:val="center"/>
      </w:pPr>
      <w:r>
        <w:rPr>
          <w:rFonts w:hint="eastAsia"/>
        </w:rPr>
        <w:t>F</w:t>
      </w:r>
      <w:r>
        <w:t>ig.3</w:t>
      </w:r>
      <w:r w:rsidR="00B152B2" w:rsidRPr="00B152B2">
        <w:t xml:space="preserve"> Comprehensive seasonal vegetation dynamics</w:t>
      </w:r>
    </w:p>
    <w:p w14:paraId="3E087397" w14:textId="6610EBE2" w:rsidR="007C46F9" w:rsidRPr="007C46F9" w:rsidRDefault="007C46F9" w:rsidP="007C46F9">
      <w:r w:rsidRPr="007C46F9">
        <w:rPr>
          <w:b/>
          <w:bCs/>
        </w:rPr>
        <w:t>Figure 3</w:t>
      </w:r>
      <w:r w:rsidRPr="007C46F9">
        <w:t xml:space="preserve"> Comprehensive seasonal vegetation dynamics across impact gradient showing (a) annual phenological curves with distance-dependent parameters, (b) seasonal stress indicators comparing NDWI and temperature differences, (</w:t>
      </w:r>
      <w:r w:rsidR="00B152B2">
        <w:t>c</w:t>
      </w:r>
      <w:r w:rsidRPr="007C46F9">
        <w:t>) species composition shifts in impact zones, (</w:t>
      </w:r>
      <w:r w:rsidR="00B152B2">
        <w:t>d</w:t>
      </w:r>
      <w:r w:rsidRPr="007C46F9">
        <w:t>) seasonal biomass accumulation patterns, and (</w:t>
      </w:r>
      <w:r w:rsidR="00B152B2">
        <w:t>e</w:t>
      </w:r>
      <w:r w:rsidRPr="007C46F9">
        <w:t>) winter evergreen vegetation persistence</w:t>
      </w:r>
    </w:p>
    <w:p w14:paraId="1D093289" w14:textId="597D7BEF" w:rsidR="007C46F9" w:rsidRPr="007C46F9" w:rsidRDefault="007C46F9" w:rsidP="007C46F9">
      <w:r w:rsidRPr="007C46F9">
        <w:t>The quantitative assessment of seasonal variation parameters revealed distinct patterns in vegetation response and recovery potential across the monitoring network. Peak growing season length showed strong correlation with distance from facilities (r = 0.89, p &lt; 0.001), while the timing of phenological events demonstrated increasing synchrony with reference conditions as restoration progressed. Table 6 synthesizes key seasonal metrics demonstrating the cascading effects of power facility impacts on vegetation dynamics throughout the annual cycle.</w:t>
      </w:r>
    </w:p>
    <w:p w14:paraId="04E46327" w14:textId="77777777" w:rsidR="007C46F9" w:rsidRPr="007C46F9" w:rsidRDefault="007C46F9" w:rsidP="00B152B2">
      <w:pPr>
        <w:jc w:val="center"/>
      </w:pPr>
      <w:r w:rsidRPr="007C46F9">
        <w:rPr>
          <w:b/>
          <w:bCs/>
        </w:rPr>
        <w:t>Table 6.</w:t>
      </w:r>
      <w:r w:rsidRPr="007C46F9">
        <w:t xml:space="preserve"> Seasonal vegetation dynamics metrics across monitoring zones (mean ± SD)</w:t>
      </w:r>
    </w:p>
    <w:tbl>
      <w:tblPr>
        <w:tblStyle w:val="11"/>
        <w:tblW w:w="0" w:type="auto"/>
        <w:tblLook w:val="04A0" w:firstRow="1" w:lastRow="0" w:firstColumn="1" w:lastColumn="0" w:noHBand="0" w:noVBand="1"/>
      </w:tblPr>
      <w:tblGrid>
        <w:gridCol w:w="1676"/>
        <w:gridCol w:w="1133"/>
        <w:gridCol w:w="1306"/>
        <w:gridCol w:w="1127"/>
        <w:gridCol w:w="1286"/>
        <w:gridCol w:w="964"/>
        <w:gridCol w:w="814"/>
      </w:tblGrid>
      <w:tr w:rsidR="007C46F9" w:rsidRPr="007C46F9" w14:paraId="47BBCF9F" w14:textId="77777777" w:rsidTr="00B152B2">
        <w:trPr>
          <w:cnfStyle w:val="100000000000" w:firstRow="1" w:lastRow="0" w:firstColumn="0" w:lastColumn="0" w:oddVBand="0" w:evenVBand="0" w:oddHBand="0" w:evenHBand="0" w:firstRowFirstColumn="0" w:firstRowLastColumn="0" w:lastRowFirstColumn="0" w:lastRowLastColumn="0"/>
        </w:trPr>
        <w:tc>
          <w:tcPr>
            <w:tcW w:w="0" w:type="auto"/>
            <w:hideMark/>
          </w:tcPr>
          <w:p w14:paraId="48BC772E" w14:textId="77777777" w:rsidR="007C46F9" w:rsidRPr="007C46F9" w:rsidRDefault="007C46F9" w:rsidP="00B152B2">
            <w:pPr>
              <w:jc w:val="center"/>
              <w:rPr>
                <w:b/>
                <w:bCs/>
              </w:rPr>
            </w:pPr>
            <w:r w:rsidRPr="007C46F9">
              <w:rPr>
                <w:b/>
                <w:bCs/>
              </w:rPr>
              <w:t>Seasonal Parameter</w:t>
            </w:r>
          </w:p>
        </w:tc>
        <w:tc>
          <w:tcPr>
            <w:tcW w:w="0" w:type="auto"/>
            <w:hideMark/>
          </w:tcPr>
          <w:p w14:paraId="0134F967" w14:textId="77777777" w:rsidR="007C46F9" w:rsidRPr="007C46F9" w:rsidRDefault="007C46F9" w:rsidP="00B152B2">
            <w:pPr>
              <w:jc w:val="center"/>
              <w:rPr>
                <w:b/>
                <w:bCs/>
              </w:rPr>
            </w:pPr>
            <w:r w:rsidRPr="007C46F9">
              <w:rPr>
                <w:b/>
                <w:bCs/>
              </w:rPr>
              <w:t>Near (0-10 km)</w:t>
            </w:r>
          </w:p>
        </w:tc>
        <w:tc>
          <w:tcPr>
            <w:tcW w:w="0" w:type="auto"/>
            <w:hideMark/>
          </w:tcPr>
          <w:p w14:paraId="6850A827" w14:textId="77777777" w:rsidR="007C46F9" w:rsidRPr="007C46F9" w:rsidRDefault="007C46F9" w:rsidP="00B152B2">
            <w:pPr>
              <w:jc w:val="center"/>
              <w:rPr>
                <w:b/>
                <w:bCs/>
              </w:rPr>
            </w:pPr>
            <w:r w:rsidRPr="007C46F9">
              <w:rPr>
                <w:b/>
                <w:bCs/>
              </w:rPr>
              <w:t>Middle (10-25 km)</w:t>
            </w:r>
          </w:p>
        </w:tc>
        <w:tc>
          <w:tcPr>
            <w:tcW w:w="0" w:type="auto"/>
            <w:hideMark/>
          </w:tcPr>
          <w:p w14:paraId="794FC1CC" w14:textId="77777777" w:rsidR="007C46F9" w:rsidRPr="007C46F9" w:rsidRDefault="007C46F9" w:rsidP="00B152B2">
            <w:pPr>
              <w:jc w:val="center"/>
              <w:rPr>
                <w:b/>
                <w:bCs/>
              </w:rPr>
            </w:pPr>
            <w:r w:rsidRPr="007C46F9">
              <w:rPr>
                <w:b/>
                <w:bCs/>
              </w:rPr>
              <w:t>Far (25-50 km)</w:t>
            </w:r>
          </w:p>
        </w:tc>
        <w:tc>
          <w:tcPr>
            <w:tcW w:w="0" w:type="auto"/>
            <w:hideMark/>
          </w:tcPr>
          <w:p w14:paraId="03CAAE6B" w14:textId="77777777" w:rsidR="007C46F9" w:rsidRPr="007C46F9" w:rsidRDefault="007C46F9" w:rsidP="00B152B2">
            <w:pPr>
              <w:jc w:val="center"/>
              <w:rPr>
                <w:b/>
                <w:bCs/>
              </w:rPr>
            </w:pPr>
            <w:r w:rsidRPr="007C46F9">
              <w:rPr>
                <w:b/>
                <w:bCs/>
              </w:rPr>
              <w:t>Control (&gt;50 km)</w:t>
            </w:r>
          </w:p>
        </w:tc>
        <w:tc>
          <w:tcPr>
            <w:tcW w:w="0" w:type="auto"/>
            <w:hideMark/>
          </w:tcPr>
          <w:p w14:paraId="1191E35D" w14:textId="77777777" w:rsidR="007C46F9" w:rsidRPr="007C46F9" w:rsidRDefault="007C46F9" w:rsidP="00B152B2">
            <w:pPr>
              <w:jc w:val="center"/>
              <w:rPr>
                <w:b/>
                <w:bCs/>
              </w:rPr>
            </w:pPr>
            <w:r w:rsidRPr="007C46F9">
              <w:rPr>
                <w:b/>
                <w:bCs/>
              </w:rPr>
              <w:t>F-statistic</w:t>
            </w:r>
          </w:p>
        </w:tc>
        <w:tc>
          <w:tcPr>
            <w:tcW w:w="0" w:type="auto"/>
            <w:hideMark/>
          </w:tcPr>
          <w:p w14:paraId="24CC2BDF" w14:textId="77777777" w:rsidR="007C46F9" w:rsidRPr="007C46F9" w:rsidRDefault="007C46F9" w:rsidP="00B152B2">
            <w:pPr>
              <w:jc w:val="center"/>
              <w:rPr>
                <w:b/>
                <w:bCs/>
              </w:rPr>
            </w:pPr>
            <w:r w:rsidRPr="007C46F9">
              <w:rPr>
                <w:b/>
                <w:bCs/>
              </w:rPr>
              <w:t>p-value</w:t>
            </w:r>
          </w:p>
        </w:tc>
      </w:tr>
      <w:tr w:rsidR="007C46F9" w:rsidRPr="007C46F9" w14:paraId="7E44A31C" w14:textId="77777777" w:rsidTr="00B152B2">
        <w:tc>
          <w:tcPr>
            <w:tcW w:w="0" w:type="auto"/>
            <w:hideMark/>
          </w:tcPr>
          <w:p w14:paraId="0B18D6CA" w14:textId="77777777" w:rsidR="007C46F9" w:rsidRPr="007C46F9" w:rsidRDefault="007C46F9" w:rsidP="00B152B2">
            <w:pPr>
              <w:jc w:val="center"/>
            </w:pPr>
            <w:r w:rsidRPr="007C46F9">
              <w:t>Spring SOS (DOY)</w:t>
            </w:r>
          </w:p>
        </w:tc>
        <w:tc>
          <w:tcPr>
            <w:tcW w:w="0" w:type="auto"/>
            <w:hideMark/>
          </w:tcPr>
          <w:p w14:paraId="52F4B68F" w14:textId="77777777" w:rsidR="007C46F9" w:rsidRPr="007C46F9" w:rsidRDefault="007C46F9" w:rsidP="00B152B2">
            <w:pPr>
              <w:jc w:val="center"/>
            </w:pPr>
            <w:r w:rsidRPr="007C46F9">
              <w:t>108 ± 8</w:t>
            </w:r>
          </w:p>
        </w:tc>
        <w:tc>
          <w:tcPr>
            <w:tcW w:w="0" w:type="auto"/>
            <w:hideMark/>
          </w:tcPr>
          <w:p w14:paraId="110C681D" w14:textId="77777777" w:rsidR="007C46F9" w:rsidRPr="007C46F9" w:rsidRDefault="007C46F9" w:rsidP="00B152B2">
            <w:pPr>
              <w:jc w:val="center"/>
            </w:pPr>
            <w:r w:rsidRPr="007C46F9">
              <w:t>102 ± 6</w:t>
            </w:r>
          </w:p>
        </w:tc>
        <w:tc>
          <w:tcPr>
            <w:tcW w:w="0" w:type="auto"/>
            <w:hideMark/>
          </w:tcPr>
          <w:p w14:paraId="2402E40C" w14:textId="77777777" w:rsidR="007C46F9" w:rsidRPr="007C46F9" w:rsidRDefault="007C46F9" w:rsidP="00B152B2">
            <w:pPr>
              <w:jc w:val="center"/>
            </w:pPr>
            <w:r w:rsidRPr="007C46F9">
              <w:t>96 ± 5</w:t>
            </w:r>
          </w:p>
        </w:tc>
        <w:tc>
          <w:tcPr>
            <w:tcW w:w="0" w:type="auto"/>
            <w:hideMark/>
          </w:tcPr>
          <w:p w14:paraId="1DF36D17" w14:textId="77777777" w:rsidR="007C46F9" w:rsidRPr="007C46F9" w:rsidRDefault="007C46F9" w:rsidP="00B152B2">
            <w:pPr>
              <w:jc w:val="center"/>
            </w:pPr>
            <w:r w:rsidRPr="007C46F9">
              <w:t>92 ± 5</w:t>
            </w:r>
          </w:p>
        </w:tc>
        <w:tc>
          <w:tcPr>
            <w:tcW w:w="0" w:type="auto"/>
            <w:hideMark/>
          </w:tcPr>
          <w:p w14:paraId="1EACBED5" w14:textId="77777777" w:rsidR="007C46F9" w:rsidRPr="007C46F9" w:rsidRDefault="007C46F9" w:rsidP="00B152B2">
            <w:pPr>
              <w:jc w:val="center"/>
            </w:pPr>
            <w:r w:rsidRPr="007C46F9">
              <w:t>18.42</w:t>
            </w:r>
          </w:p>
        </w:tc>
        <w:tc>
          <w:tcPr>
            <w:tcW w:w="0" w:type="auto"/>
            <w:hideMark/>
          </w:tcPr>
          <w:p w14:paraId="6421C30D" w14:textId="77777777" w:rsidR="007C46F9" w:rsidRPr="007C46F9" w:rsidRDefault="007C46F9" w:rsidP="00B152B2">
            <w:pPr>
              <w:jc w:val="center"/>
            </w:pPr>
            <w:r w:rsidRPr="007C46F9">
              <w:t>&lt;0.001</w:t>
            </w:r>
          </w:p>
        </w:tc>
      </w:tr>
      <w:tr w:rsidR="007C46F9" w:rsidRPr="007C46F9" w14:paraId="7C19BF32" w14:textId="77777777" w:rsidTr="00B152B2">
        <w:tc>
          <w:tcPr>
            <w:tcW w:w="0" w:type="auto"/>
            <w:hideMark/>
          </w:tcPr>
          <w:p w14:paraId="2A325DC3" w14:textId="77777777" w:rsidR="007C46F9" w:rsidRPr="007C46F9" w:rsidRDefault="007C46F9" w:rsidP="00B152B2">
            <w:pPr>
              <w:jc w:val="center"/>
            </w:pPr>
            <w:r w:rsidRPr="007C46F9">
              <w:t xml:space="preserve">Green-up </w:t>
            </w:r>
            <w:r w:rsidRPr="007C46F9">
              <w:lastRenderedPageBreak/>
              <w:t>duration (days)</w:t>
            </w:r>
          </w:p>
        </w:tc>
        <w:tc>
          <w:tcPr>
            <w:tcW w:w="0" w:type="auto"/>
            <w:hideMark/>
          </w:tcPr>
          <w:p w14:paraId="6943CD97" w14:textId="77777777" w:rsidR="007C46F9" w:rsidRPr="007C46F9" w:rsidRDefault="007C46F9" w:rsidP="00B152B2">
            <w:pPr>
              <w:jc w:val="center"/>
            </w:pPr>
            <w:r w:rsidRPr="007C46F9">
              <w:lastRenderedPageBreak/>
              <w:t>58 ± 11</w:t>
            </w:r>
          </w:p>
        </w:tc>
        <w:tc>
          <w:tcPr>
            <w:tcW w:w="0" w:type="auto"/>
            <w:hideMark/>
          </w:tcPr>
          <w:p w14:paraId="69330C32" w14:textId="77777777" w:rsidR="007C46F9" w:rsidRPr="007C46F9" w:rsidRDefault="007C46F9" w:rsidP="00B152B2">
            <w:pPr>
              <w:jc w:val="center"/>
            </w:pPr>
            <w:r w:rsidRPr="007C46F9">
              <w:t>52 ± 8</w:t>
            </w:r>
          </w:p>
        </w:tc>
        <w:tc>
          <w:tcPr>
            <w:tcW w:w="0" w:type="auto"/>
            <w:hideMark/>
          </w:tcPr>
          <w:p w14:paraId="6667BB0B" w14:textId="77777777" w:rsidR="007C46F9" w:rsidRPr="007C46F9" w:rsidRDefault="007C46F9" w:rsidP="00B152B2">
            <w:pPr>
              <w:jc w:val="center"/>
            </w:pPr>
            <w:r w:rsidRPr="007C46F9">
              <w:t>48 ± 7</w:t>
            </w:r>
          </w:p>
        </w:tc>
        <w:tc>
          <w:tcPr>
            <w:tcW w:w="0" w:type="auto"/>
            <w:hideMark/>
          </w:tcPr>
          <w:p w14:paraId="347F8FE1" w14:textId="77777777" w:rsidR="007C46F9" w:rsidRPr="007C46F9" w:rsidRDefault="007C46F9" w:rsidP="00B152B2">
            <w:pPr>
              <w:jc w:val="center"/>
            </w:pPr>
            <w:r w:rsidRPr="007C46F9">
              <w:t>45 ± 7</w:t>
            </w:r>
          </w:p>
        </w:tc>
        <w:tc>
          <w:tcPr>
            <w:tcW w:w="0" w:type="auto"/>
            <w:hideMark/>
          </w:tcPr>
          <w:p w14:paraId="1CBF8062" w14:textId="77777777" w:rsidR="007C46F9" w:rsidRPr="007C46F9" w:rsidRDefault="007C46F9" w:rsidP="00B152B2">
            <w:pPr>
              <w:jc w:val="center"/>
            </w:pPr>
            <w:r w:rsidRPr="007C46F9">
              <w:t>8.76</w:t>
            </w:r>
          </w:p>
        </w:tc>
        <w:tc>
          <w:tcPr>
            <w:tcW w:w="0" w:type="auto"/>
            <w:hideMark/>
          </w:tcPr>
          <w:p w14:paraId="79ACFAAD" w14:textId="77777777" w:rsidR="007C46F9" w:rsidRPr="007C46F9" w:rsidRDefault="007C46F9" w:rsidP="00B152B2">
            <w:pPr>
              <w:jc w:val="center"/>
            </w:pPr>
            <w:r w:rsidRPr="007C46F9">
              <w:t>0.002</w:t>
            </w:r>
          </w:p>
        </w:tc>
      </w:tr>
      <w:tr w:rsidR="007C46F9" w:rsidRPr="007C46F9" w14:paraId="7EE4ED93" w14:textId="77777777" w:rsidTr="00B152B2">
        <w:tc>
          <w:tcPr>
            <w:tcW w:w="0" w:type="auto"/>
            <w:hideMark/>
          </w:tcPr>
          <w:p w14:paraId="02C8E737" w14:textId="77777777" w:rsidR="007C46F9" w:rsidRPr="007C46F9" w:rsidRDefault="007C46F9" w:rsidP="00B152B2">
            <w:pPr>
              <w:jc w:val="center"/>
            </w:pPr>
            <w:r w:rsidRPr="007C46F9">
              <w:t>Summer peak NDVI</w:t>
            </w:r>
          </w:p>
        </w:tc>
        <w:tc>
          <w:tcPr>
            <w:tcW w:w="0" w:type="auto"/>
            <w:hideMark/>
          </w:tcPr>
          <w:p w14:paraId="705ADACE" w14:textId="77777777" w:rsidR="007C46F9" w:rsidRPr="007C46F9" w:rsidRDefault="007C46F9" w:rsidP="00B152B2">
            <w:pPr>
              <w:jc w:val="center"/>
            </w:pPr>
            <w:r w:rsidRPr="007C46F9">
              <w:t>0.62 ± 0.08</w:t>
            </w:r>
          </w:p>
        </w:tc>
        <w:tc>
          <w:tcPr>
            <w:tcW w:w="0" w:type="auto"/>
            <w:hideMark/>
          </w:tcPr>
          <w:p w14:paraId="68890905" w14:textId="77777777" w:rsidR="007C46F9" w:rsidRPr="007C46F9" w:rsidRDefault="007C46F9" w:rsidP="00B152B2">
            <w:pPr>
              <w:jc w:val="center"/>
            </w:pPr>
            <w:r w:rsidRPr="007C46F9">
              <w:t>0.71 ± 0.06</w:t>
            </w:r>
          </w:p>
        </w:tc>
        <w:tc>
          <w:tcPr>
            <w:tcW w:w="0" w:type="auto"/>
            <w:hideMark/>
          </w:tcPr>
          <w:p w14:paraId="6C2C0338" w14:textId="77777777" w:rsidR="007C46F9" w:rsidRPr="007C46F9" w:rsidRDefault="007C46F9" w:rsidP="00B152B2">
            <w:pPr>
              <w:jc w:val="center"/>
            </w:pPr>
            <w:r w:rsidRPr="007C46F9">
              <w:t>0.78 ± 0.05</w:t>
            </w:r>
          </w:p>
        </w:tc>
        <w:tc>
          <w:tcPr>
            <w:tcW w:w="0" w:type="auto"/>
            <w:hideMark/>
          </w:tcPr>
          <w:p w14:paraId="6F846597" w14:textId="77777777" w:rsidR="007C46F9" w:rsidRPr="007C46F9" w:rsidRDefault="007C46F9" w:rsidP="00B152B2">
            <w:pPr>
              <w:jc w:val="center"/>
            </w:pPr>
            <w:r w:rsidRPr="007C46F9">
              <w:t>0.84 ± 0.04</w:t>
            </w:r>
          </w:p>
        </w:tc>
        <w:tc>
          <w:tcPr>
            <w:tcW w:w="0" w:type="auto"/>
            <w:hideMark/>
          </w:tcPr>
          <w:p w14:paraId="453A4193" w14:textId="77777777" w:rsidR="007C46F9" w:rsidRPr="007C46F9" w:rsidRDefault="007C46F9" w:rsidP="00B152B2">
            <w:pPr>
              <w:jc w:val="center"/>
            </w:pPr>
            <w:r w:rsidRPr="007C46F9">
              <w:t>42.18</w:t>
            </w:r>
          </w:p>
        </w:tc>
        <w:tc>
          <w:tcPr>
            <w:tcW w:w="0" w:type="auto"/>
            <w:hideMark/>
          </w:tcPr>
          <w:p w14:paraId="66F277A5" w14:textId="77777777" w:rsidR="007C46F9" w:rsidRPr="007C46F9" w:rsidRDefault="007C46F9" w:rsidP="00B152B2">
            <w:pPr>
              <w:jc w:val="center"/>
            </w:pPr>
            <w:r w:rsidRPr="007C46F9">
              <w:t>&lt;0.001</w:t>
            </w:r>
          </w:p>
        </w:tc>
      </w:tr>
      <w:tr w:rsidR="007C46F9" w:rsidRPr="007C46F9" w14:paraId="7E2E1F23" w14:textId="77777777" w:rsidTr="00B152B2">
        <w:tc>
          <w:tcPr>
            <w:tcW w:w="0" w:type="auto"/>
            <w:hideMark/>
          </w:tcPr>
          <w:p w14:paraId="2F7B0B2D" w14:textId="77777777" w:rsidR="007C46F9" w:rsidRPr="007C46F9" w:rsidRDefault="007C46F9" w:rsidP="00B152B2">
            <w:pPr>
              <w:jc w:val="center"/>
            </w:pPr>
            <w:r w:rsidRPr="007C46F9">
              <w:t>Peak timing (DOY)</w:t>
            </w:r>
          </w:p>
        </w:tc>
        <w:tc>
          <w:tcPr>
            <w:tcW w:w="0" w:type="auto"/>
            <w:hideMark/>
          </w:tcPr>
          <w:p w14:paraId="1E68910C" w14:textId="77777777" w:rsidR="007C46F9" w:rsidRPr="007C46F9" w:rsidRDefault="007C46F9" w:rsidP="00B152B2">
            <w:pPr>
              <w:jc w:val="center"/>
            </w:pPr>
            <w:r w:rsidRPr="007C46F9">
              <w:t>195 ± 10</w:t>
            </w:r>
          </w:p>
        </w:tc>
        <w:tc>
          <w:tcPr>
            <w:tcW w:w="0" w:type="auto"/>
            <w:hideMark/>
          </w:tcPr>
          <w:p w14:paraId="2C9128B7" w14:textId="77777777" w:rsidR="007C46F9" w:rsidRPr="007C46F9" w:rsidRDefault="007C46F9" w:rsidP="00B152B2">
            <w:pPr>
              <w:jc w:val="center"/>
            </w:pPr>
            <w:r w:rsidRPr="007C46F9">
              <w:t>201 ± 8</w:t>
            </w:r>
          </w:p>
        </w:tc>
        <w:tc>
          <w:tcPr>
            <w:tcW w:w="0" w:type="auto"/>
            <w:hideMark/>
          </w:tcPr>
          <w:p w14:paraId="57D3C687" w14:textId="77777777" w:rsidR="007C46F9" w:rsidRPr="007C46F9" w:rsidRDefault="007C46F9" w:rsidP="00B152B2">
            <w:pPr>
              <w:jc w:val="center"/>
            </w:pPr>
            <w:r w:rsidRPr="007C46F9">
              <w:t>208 ± 7</w:t>
            </w:r>
          </w:p>
        </w:tc>
        <w:tc>
          <w:tcPr>
            <w:tcW w:w="0" w:type="auto"/>
            <w:hideMark/>
          </w:tcPr>
          <w:p w14:paraId="7273FEE8" w14:textId="77777777" w:rsidR="007C46F9" w:rsidRPr="007C46F9" w:rsidRDefault="007C46F9" w:rsidP="00B152B2">
            <w:pPr>
              <w:jc w:val="center"/>
            </w:pPr>
            <w:r w:rsidRPr="007C46F9">
              <w:t>210 ± 6</w:t>
            </w:r>
          </w:p>
        </w:tc>
        <w:tc>
          <w:tcPr>
            <w:tcW w:w="0" w:type="auto"/>
            <w:hideMark/>
          </w:tcPr>
          <w:p w14:paraId="670710A0" w14:textId="77777777" w:rsidR="007C46F9" w:rsidRPr="007C46F9" w:rsidRDefault="007C46F9" w:rsidP="00B152B2">
            <w:pPr>
              <w:jc w:val="center"/>
            </w:pPr>
            <w:r w:rsidRPr="007C46F9">
              <w:t>11.23</w:t>
            </w:r>
          </w:p>
        </w:tc>
        <w:tc>
          <w:tcPr>
            <w:tcW w:w="0" w:type="auto"/>
            <w:hideMark/>
          </w:tcPr>
          <w:p w14:paraId="1515BE31" w14:textId="77777777" w:rsidR="007C46F9" w:rsidRPr="007C46F9" w:rsidRDefault="007C46F9" w:rsidP="00B152B2">
            <w:pPr>
              <w:jc w:val="center"/>
            </w:pPr>
            <w:r w:rsidRPr="007C46F9">
              <w:t>&lt;0.001</w:t>
            </w:r>
          </w:p>
        </w:tc>
      </w:tr>
      <w:tr w:rsidR="007C46F9" w:rsidRPr="007C46F9" w14:paraId="587D5AFA" w14:textId="77777777" w:rsidTr="00B152B2">
        <w:tc>
          <w:tcPr>
            <w:tcW w:w="0" w:type="auto"/>
            <w:hideMark/>
          </w:tcPr>
          <w:p w14:paraId="4A6D6A8A" w14:textId="77777777" w:rsidR="007C46F9" w:rsidRPr="007C46F9" w:rsidRDefault="007C46F9" w:rsidP="00B152B2">
            <w:pPr>
              <w:jc w:val="center"/>
            </w:pPr>
            <w:r w:rsidRPr="007C46F9">
              <w:t>Autumn EOS (DOY)</w:t>
            </w:r>
          </w:p>
        </w:tc>
        <w:tc>
          <w:tcPr>
            <w:tcW w:w="0" w:type="auto"/>
            <w:hideMark/>
          </w:tcPr>
          <w:p w14:paraId="629D0E77" w14:textId="77777777" w:rsidR="007C46F9" w:rsidRPr="007C46F9" w:rsidRDefault="007C46F9" w:rsidP="00B152B2">
            <w:pPr>
              <w:jc w:val="center"/>
            </w:pPr>
            <w:r w:rsidRPr="007C46F9">
              <w:t>278 ± 9</w:t>
            </w:r>
          </w:p>
        </w:tc>
        <w:tc>
          <w:tcPr>
            <w:tcW w:w="0" w:type="auto"/>
            <w:hideMark/>
          </w:tcPr>
          <w:p w14:paraId="3E40DF5F" w14:textId="77777777" w:rsidR="007C46F9" w:rsidRPr="007C46F9" w:rsidRDefault="007C46F9" w:rsidP="00B152B2">
            <w:pPr>
              <w:jc w:val="center"/>
            </w:pPr>
            <w:r w:rsidRPr="007C46F9">
              <w:t>286 ± 7</w:t>
            </w:r>
          </w:p>
        </w:tc>
        <w:tc>
          <w:tcPr>
            <w:tcW w:w="0" w:type="auto"/>
            <w:hideMark/>
          </w:tcPr>
          <w:p w14:paraId="59C607D1" w14:textId="77777777" w:rsidR="007C46F9" w:rsidRPr="007C46F9" w:rsidRDefault="007C46F9" w:rsidP="00B152B2">
            <w:pPr>
              <w:jc w:val="center"/>
            </w:pPr>
            <w:r w:rsidRPr="007C46F9">
              <w:t>294 ± 6</w:t>
            </w:r>
          </w:p>
        </w:tc>
        <w:tc>
          <w:tcPr>
            <w:tcW w:w="0" w:type="auto"/>
            <w:hideMark/>
          </w:tcPr>
          <w:p w14:paraId="1D26C1A2" w14:textId="77777777" w:rsidR="007C46F9" w:rsidRPr="007C46F9" w:rsidRDefault="007C46F9" w:rsidP="00B152B2">
            <w:pPr>
              <w:jc w:val="center"/>
            </w:pPr>
            <w:r w:rsidRPr="007C46F9">
              <w:t>300 ± 6</w:t>
            </w:r>
          </w:p>
        </w:tc>
        <w:tc>
          <w:tcPr>
            <w:tcW w:w="0" w:type="auto"/>
            <w:hideMark/>
          </w:tcPr>
          <w:p w14:paraId="72DF1C1F" w14:textId="77777777" w:rsidR="007C46F9" w:rsidRPr="007C46F9" w:rsidRDefault="007C46F9" w:rsidP="00B152B2">
            <w:pPr>
              <w:jc w:val="center"/>
            </w:pPr>
            <w:r w:rsidRPr="007C46F9">
              <w:t>26.54</w:t>
            </w:r>
          </w:p>
        </w:tc>
        <w:tc>
          <w:tcPr>
            <w:tcW w:w="0" w:type="auto"/>
            <w:hideMark/>
          </w:tcPr>
          <w:p w14:paraId="7446BAE8" w14:textId="77777777" w:rsidR="007C46F9" w:rsidRPr="007C46F9" w:rsidRDefault="007C46F9" w:rsidP="00B152B2">
            <w:pPr>
              <w:jc w:val="center"/>
            </w:pPr>
            <w:r w:rsidRPr="007C46F9">
              <w:t>&lt;0.001</w:t>
            </w:r>
          </w:p>
        </w:tc>
      </w:tr>
      <w:tr w:rsidR="007C46F9" w:rsidRPr="007C46F9" w14:paraId="6BC85133" w14:textId="77777777" w:rsidTr="00B152B2">
        <w:tc>
          <w:tcPr>
            <w:tcW w:w="0" w:type="auto"/>
            <w:hideMark/>
          </w:tcPr>
          <w:p w14:paraId="5C181D08" w14:textId="77777777" w:rsidR="007C46F9" w:rsidRPr="007C46F9" w:rsidRDefault="007C46F9" w:rsidP="00B152B2">
            <w:pPr>
              <w:jc w:val="center"/>
            </w:pPr>
            <w:r w:rsidRPr="007C46F9">
              <w:t>Senescence rate</w:t>
            </w:r>
          </w:p>
        </w:tc>
        <w:tc>
          <w:tcPr>
            <w:tcW w:w="0" w:type="auto"/>
            <w:hideMark/>
          </w:tcPr>
          <w:p w14:paraId="241EB18C" w14:textId="77777777" w:rsidR="007C46F9" w:rsidRPr="007C46F9" w:rsidRDefault="007C46F9" w:rsidP="00B152B2">
            <w:pPr>
              <w:jc w:val="center"/>
            </w:pPr>
            <w:r w:rsidRPr="007C46F9">
              <w:t>-0.0089 ± 0.002</w:t>
            </w:r>
          </w:p>
        </w:tc>
        <w:tc>
          <w:tcPr>
            <w:tcW w:w="0" w:type="auto"/>
            <w:hideMark/>
          </w:tcPr>
          <w:p w14:paraId="488E0214" w14:textId="77777777" w:rsidR="007C46F9" w:rsidRPr="007C46F9" w:rsidRDefault="007C46F9" w:rsidP="00B152B2">
            <w:pPr>
              <w:jc w:val="center"/>
            </w:pPr>
            <w:r w:rsidRPr="007C46F9">
              <w:t>-0.0071 ± 0.001</w:t>
            </w:r>
          </w:p>
        </w:tc>
        <w:tc>
          <w:tcPr>
            <w:tcW w:w="0" w:type="auto"/>
            <w:hideMark/>
          </w:tcPr>
          <w:p w14:paraId="0AF29847" w14:textId="77777777" w:rsidR="007C46F9" w:rsidRPr="007C46F9" w:rsidRDefault="007C46F9" w:rsidP="00B152B2">
            <w:pPr>
              <w:jc w:val="center"/>
            </w:pPr>
            <w:r w:rsidRPr="007C46F9">
              <w:t>-0.0058 ± 0.001</w:t>
            </w:r>
          </w:p>
        </w:tc>
        <w:tc>
          <w:tcPr>
            <w:tcW w:w="0" w:type="auto"/>
            <w:hideMark/>
          </w:tcPr>
          <w:p w14:paraId="17C89B8F" w14:textId="77777777" w:rsidR="007C46F9" w:rsidRPr="007C46F9" w:rsidRDefault="007C46F9" w:rsidP="00B152B2">
            <w:pPr>
              <w:jc w:val="center"/>
            </w:pPr>
            <w:r w:rsidRPr="007C46F9">
              <w:t>-0.0046 ± 0.001</w:t>
            </w:r>
          </w:p>
        </w:tc>
        <w:tc>
          <w:tcPr>
            <w:tcW w:w="0" w:type="auto"/>
            <w:hideMark/>
          </w:tcPr>
          <w:p w14:paraId="06048688" w14:textId="77777777" w:rsidR="007C46F9" w:rsidRPr="007C46F9" w:rsidRDefault="007C46F9" w:rsidP="00B152B2">
            <w:pPr>
              <w:jc w:val="center"/>
            </w:pPr>
            <w:r w:rsidRPr="007C46F9">
              <w:t>34.67</w:t>
            </w:r>
          </w:p>
        </w:tc>
        <w:tc>
          <w:tcPr>
            <w:tcW w:w="0" w:type="auto"/>
            <w:hideMark/>
          </w:tcPr>
          <w:p w14:paraId="76A9D11E" w14:textId="77777777" w:rsidR="007C46F9" w:rsidRPr="007C46F9" w:rsidRDefault="007C46F9" w:rsidP="00B152B2">
            <w:pPr>
              <w:jc w:val="center"/>
            </w:pPr>
            <w:r w:rsidRPr="007C46F9">
              <w:t>&lt;0.001</w:t>
            </w:r>
          </w:p>
        </w:tc>
      </w:tr>
      <w:tr w:rsidR="007C46F9" w:rsidRPr="007C46F9" w14:paraId="2D2C49C9" w14:textId="77777777" w:rsidTr="00B152B2">
        <w:tc>
          <w:tcPr>
            <w:tcW w:w="0" w:type="auto"/>
            <w:hideMark/>
          </w:tcPr>
          <w:p w14:paraId="7EE0018B" w14:textId="77777777" w:rsidR="007C46F9" w:rsidRPr="007C46F9" w:rsidRDefault="007C46F9" w:rsidP="00B152B2">
            <w:pPr>
              <w:jc w:val="center"/>
            </w:pPr>
            <w:r w:rsidRPr="007C46F9">
              <w:t>Winter min NDVI</w:t>
            </w:r>
          </w:p>
        </w:tc>
        <w:tc>
          <w:tcPr>
            <w:tcW w:w="0" w:type="auto"/>
            <w:hideMark/>
          </w:tcPr>
          <w:p w14:paraId="72A8209D" w14:textId="77777777" w:rsidR="007C46F9" w:rsidRPr="007C46F9" w:rsidRDefault="007C46F9" w:rsidP="00B152B2">
            <w:pPr>
              <w:jc w:val="center"/>
            </w:pPr>
            <w:r w:rsidRPr="007C46F9">
              <w:t>0.18 ± 0.04</w:t>
            </w:r>
          </w:p>
        </w:tc>
        <w:tc>
          <w:tcPr>
            <w:tcW w:w="0" w:type="auto"/>
            <w:hideMark/>
          </w:tcPr>
          <w:p w14:paraId="36F80F43" w14:textId="77777777" w:rsidR="007C46F9" w:rsidRPr="007C46F9" w:rsidRDefault="007C46F9" w:rsidP="00B152B2">
            <w:pPr>
              <w:jc w:val="center"/>
            </w:pPr>
            <w:r w:rsidRPr="007C46F9">
              <w:t>0.15 ± 0.03</w:t>
            </w:r>
          </w:p>
        </w:tc>
        <w:tc>
          <w:tcPr>
            <w:tcW w:w="0" w:type="auto"/>
            <w:hideMark/>
          </w:tcPr>
          <w:p w14:paraId="656E4A4A" w14:textId="77777777" w:rsidR="007C46F9" w:rsidRPr="007C46F9" w:rsidRDefault="007C46F9" w:rsidP="00B152B2">
            <w:pPr>
              <w:jc w:val="center"/>
            </w:pPr>
            <w:r w:rsidRPr="007C46F9">
              <w:t>0.13 ± 0.03</w:t>
            </w:r>
          </w:p>
        </w:tc>
        <w:tc>
          <w:tcPr>
            <w:tcW w:w="0" w:type="auto"/>
            <w:hideMark/>
          </w:tcPr>
          <w:p w14:paraId="5324E7A0" w14:textId="77777777" w:rsidR="007C46F9" w:rsidRPr="007C46F9" w:rsidRDefault="007C46F9" w:rsidP="00B152B2">
            <w:pPr>
              <w:jc w:val="center"/>
            </w:pPr>
            <w:r w:rsidRPr="007C46F9">
              <w:t>0.12 ± 0.03</w:t>
            </w:r>
          </w:p>
        </w:tc>
        <w:tc>
          <w:tcPr>
            <w:tcW w:w="0" w:type="auto"/>
            <w:hideMark/>
          </w:tcPr>
          <w:p w14:paraId="49D6D0CC" w14:textId="77777777" w:rsidR="007C46F9" w:rsidRPr="007C46F9" w:rsidRDefault="007C46F9" w:rsidP="00B152B2">
            <w:pPr>
              <w:jc w:val="center"/>
            </w:pPr>
            <w:r w:rsidRPr="007C46F9">
              <w:t>9.82</w:t>
            </w:r>
          </w:p>
        </w:tc>
        <w:tc>
          <w:tcPr>
            <w:tcW w:w="0" w:type="auto"/>
            <w:hideMark/>
          </w:tcPr>
          <w:p w14:paraId="5114FC9F" w14:textId="77777777" w:rsidR="007C46F9" w:rsidRPr="007C46F9" w:rsidRDefault="007C46F9" w:rsidP="00B152B2">
            <w:pPr>
              <w:jc w:val="center"/>
            </w:pPr>
            <w:r w:rsidRPr="007C46F9">
              <w:t>0.001</w:t>
            </w:r>
          </w:p>
        </w:tc>
      </w:tr>
      <w:tr w:rsidR="007C46F9" w:rsidRPr="007C46F9" w14:paraId="6260DE1B" w14:textId="77777777" w:rsidTr="00B152B2">
        <w:tc>
          <w:tcPr>
            <w:tcW w:w="0" w:type="auto"/>
            <w:hideMark/>
          </w:tcPr>
          <w:p w14:paraId="17177EB0" w14:textId="77777777" w:rsidR="007C46F9" w:rsidRPr="007C46F9" w:rsidRDefault="007C46F9" w:rsidP="00B152B2">
            <w:pPr>
              <w:jc w:val="center"/>
            </w:pPr>
            <w:r w:rsidRPr="007C46F9">
              <w:t>Growing season (days)</w:t>
            </w:r>
          </w:p>
        </w:tc>
        <w:tc>
          <w:tcPr>
            <w:tcW w:w="0" w:type="auto"/>
            <w:hideMark/>
          </w:tcPr>
          <w:p w14:paraId="7B63D12B" w14:textId="77777777" w:rsidR="007C46F9" w:rsidRPr="007C46F9" w:rsidRDefault="007C46F9" w:rsidP="00B152B2">
            <w:pPr>
              <w:jc w:val="center"/>
            </w:pPr>
            <w:r w:rsidRPr="007C46F9">
              <w:t>170 ± 14</w:t>
            </w:r>
          </w:p>
        </w:tc>
        <w:tc>
          <w:tcPr>
            <w:tcW w:w="0" w:type="auto"/>
            <w:hideMark/>
          </w:tcPr>
          <w:p w14:paraId="3F5C5768" w14:textId="77777777" w:rsidR="007C46F9" w:rsidRPr="007C46F9" w:rsidRDefault="007C46F9" w:rsidP="00B152B2">
            <w:pPr>
              <w:jc w:val="center"/>
            </w:pPr>
            <w:r w:rsidRPr="007C46F9">
              <w:t>184 ± 11</w:t>
            </w:r>
          </w:p>
        </w:tc>
        <w:tc>
          <w:tcPr>
            <w:tcW w:w="0" w:type="auto"/>
            <w:hideMark/>
          </w:tcPr>
          <w:p w14:paraId="54920320" w14:textId="77777777" w:rsidR="007C46F9" w:rsidRPr="007C46F9" w:rsidRDefault="007C46F9" w:rsidP="00B152B2">
            <w:pPr>
              <w:jc w:val="center"/>
            </w:pPr>
            <w:r w:rsidRPr="007C46F9">
              <w:t>198 ± 9</w:t>
            </w:r>
          </w:p>
        </w:tc>
        <w:tc>
          <w:tcPr>
            <w:tcW w:w="0" w:type="auto"/>
            <w:hideMark/>
          </w:tcPr>
          <w:p w14:paraId="008ED45F" w14:textId="77777777" w:rsidR="007C46F9" w:rsidRPr="007C46F9" w:rsidRDefault="007C46F9" w:rsidP="00B152B2">
            <w:pPr>
              <w:jc w:val="center"/>
            </w:pPr>
            <w:r w:rsidRPr="007C46F9">
              <w:t>208 ± 8</w:t>
            </w:r>
          </w:p>
        </w:tc>
        <w:tc>
          <w:tcPr>
            <w:tcW w:w="0" w:type="auto"/>
            <w:hideMark/>
          </w:tcPr>
          <w:p w14:paraId="0275E9A7" w14:textId="77777777" w:rsidR="007C46F9" w:rsidRPr="007C46F9" w:rsidRDefault="007C46F9" w:rsidP="00B152B2">
            <w:pPr>
              <w:jc w:val="center"/>
            </w:pPr>
            <w:r w:rsidRPr="007C46F9">
              <w:t>31.45</w:t>
            </w:r>
          </w:p>
        </w:tc>
        <w:tc>
          <w:tcPr>
            <w:tcW w:w="0" w:type="auto"/>
            <w:hideMark/>
          </w:tcPr>
          <w:p w14:paraId="0091546F" w14:textId="77777777" w:rsidR="007C46F9" w:rsidRPr="007C46F9" w:rsidRDefault="007C46F9" w:rsidP="00B152B2">
            <w:pPr>
              <w:jc w:val="center"/>
            </w:pPr>
            <w:r w:rsidRPr="007C46F9">
              <w:t>&lt;0.001</w:t>
            </w:r>
          </w:p>
        </w:tc>
      </w:tr>
    </w:tbl>
    <w:p w14:paraId="393590B7" w14:textId="77777777" w:rsidR="007C46F9" w:rsidRPr="007C46F9" w:rsidRDefault="007C46F9" w:rsidP="007C46F9">
      <w:r w:rsidRPr="007C46F9">
        <w:t>The integrated seasonal analysis demonstrates that vegetation restoration success is fundamentally linked to the recovery of natural phenological patterns, with improvements in seasonal timing, duration, and amplitude serving as sensitive indicators of ecosystem recovery along the power facility impact gradient.</w:t>
      </w:r>
    </w:p>
    <w:p w14:paraId="16ACFE56" w14:textId="6C3934E5" w:rsidR="00FC4262" w:rsidRDefault="00FC4262" w:rsidP="00FC4262">
      <w:pPr>
        <w:pStyle w:val="3"/>
      </w:pPr>
      <w:bookmarkStart w:id="4" w:name="OLE_LINK10"/>
      <w:r w:rsidRPr="00FC4262">
        <w:t>3.4 Spatial Pattern Analysis</w:t>
      </w:r>
    </w:p>
    <w:p w14:paraId="3BCD1BDF" w14:textId="77777777" w:rsidR="00B152B2" w:rsidRPr="00B152B2" w:rsidRDefault="00B152B2" w:rsidP="00B152B2">
      <w:r w:rsidRPr="00B152B2">
        <w:t>Distance-decay relationships in vegetation restoration exhibited clear gradients extending from power facilities, with vegetation health indicators showing predictable improvement as distance increased. Analysis of multi-year satellite data revealed that vegetation coverage increased from 42.3% within 5 km of facilities to 84.5% at distances exceeding 40 km, following a characteristic negative exponential pattern. The most rapid changes occurred within the first 15 km, where vegetation coverage increased by approximately 2.8% per kilometer, before transitioning to more gradual improvements of 0.5% per kilometer at greater distances. This spatial gradient was consistent across multiple vegetation indices, though the specific decay rates varied by parameter, with NDVI showing steeper gradients than vegetation coverage due to its sensitivity to chlorophyll content and plant stress.</w:t>
      </w:r>
    </w:p>
    <w:p w14:paraId="46B3076A" w14:textId="77777777" w:rsidR="00B152B2" w:rsidRPr="00B152B2" w:rsidRDefault="00B152B2" w:rsidP="00B152B2">
      <w:r w:rsidRPr="00B152B2">
        <w:t>Directional effects analysis incorporating meteorological data and emission dispersion patterns revealed significant anisotropy in vegetation impacts around power facilities. Prevailing northeast winds, occurring 42% of the time with average speeds of 4.2 m/s, created elongated impact zones extending up to 18 km in downwind directions compared to only 8 km upwind. Vegetation stress indicators showed maximum values along the primary wind corridor at 225° bearing, where chronic exposure to SO</w:t>
      </w:r>
      <w:r w:rsidRPr="00B152B2">
        <w:rPr>
          <w:rFonts w:cs="Times New Roman"/>
        </w:rPr>
        <w:t>₂</w:t>
      </w:r>
      <w:r w:rsidRPr="00B152B2">
        <w:t xml:space="preserve"> and NO</w:t>
      </w:r>
      <w:r w:rsidRPr="00B152B2">
        <w:rPr>
          <w:rFonts w:cs="Times New Roman"/>
        </w:rPr>
        <w:t>ₓ</w:t>
      </w:r>
      <w:r w:rsidRPr="00B152B2">
        <w:t xml:space="preserve"> emissions resulted in persistent canopy damage and reduced species diversity. Secondary impact zones developed along southeast vectors during summer months when wind patterns shifted, creating complex spatial mosaics of vegetation condition that reflected both current and historical exposure patterns.</w:t>
      </w:r>
    </w:p>
    <w:p w14:paraId="5D303955" w14:textId="77777777" w:rsidR="00B152B2" w:rsidRPr="00B152B2" w:rsidRDefault="00B152B2" w:rsidP="00B152B2">
      <w:r w:rsidRPr="00B152B2">
        <w:t xml:space="preserve">Restoration success zones were delineated through cluster analysis of multiple recovery indicators, identifying distinct spatial domains with characteristic restoration trajectories. High success zones, representing 42.3% of the study area, occurred primarily beyond 20 km from facilities in areas with favorable microclimates and minimal cumulative exposure. These zones demonstrated consistent year-over-year improvements averaging 7.8% annually in vegetation coverage. Moderate success zones formed transitional belts between severely impacted and recovered areas, characterized by </w:t>
      </w:r>
      <w:r w:rsidRPr="00B152B2">
        <w:lastRenderedPageBreak/>
        <w:t>high spatial heterogeneity and variable recovery rates ranging from 3.2% to 5.6% annually depending on local conditions. Low success zones persisted within 10 km of facilities, particularly in topographic depressions where pollutants accumulated, showing minimal recovery despite restoration efforts. Figure 4 presents the comprehensive spatial patterns observed across the study landscape.</w:t>
      </w:r>
    </w:p>
    <w:p w14:paraId="032FA877" w14:textId="7EE99B60" w:rsidR="00B152B2" w:rsidRDefault="004A2EA4" w:rsidP="004A2EA4">
      <w:r w:rsidRPr="004A2EA4">
        <w:rPr>
          <w:noProof/>
        </w:rPr>
        <w:drawing>
          <wp:inline distT="0" distB="0" distL="0" distR="0" wp14:anchorId="16F156BA" wp14:editId="0DE54421">
            <wp:extent cx="2317687" cy="2256899"/>
            <wp:effectExtent l="0" t="0" r="698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9"/>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2331116" cy="2269976"/>
                    </a:xfrm>
                    <a:prstGeom prst="rect">
                      <a:avLst/>
                    </a:prstGeom>
                    <a:noFill/>
                    <a:ln>
                      <a:noFill/>
                    </a:ln>
                  </pic:spPr>
                </pic:pic>
              </a:graphicData>
            </a:graphic>
          </wp:inline>
        </w:drawing>
      </w:r>
      <w:r w:rsidRPr="004A2EA4">
        <w:t xml:space="preserve"> </w:t>
      </w:r>
      <w:r w:rsidRPr="004A2EA4">
        <w:rPr>
          <w:noProof/>
        </w:rPr>
        <w:drawing>
          <wp:inline distT="0" distB="0" distL="0" distR="0" wp14:anchorId="42B1B284" wp14:editId="225CEEA2">
            <wp:extent cx="2403695" cy="2258369"/>
            <wp:effectExtent l="0" t="0" r="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0"/>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414375" cy="2268403"/>
                    </a:xfrm>
                    <a:prstGeom prst="rect">
                      <a:avLst/>
                    </a:prstGeom>
                    <a:noFill/>
                    <a:ln>
                      <a:noFill/>
                    </a:ln>
                  </pic:spPr>
                </pic:pic>
              </a:graphicData>
            </a:graphic>
          </wp:inline>
        </w:drawing>
      </w:r>
    </w:p>
    <w:p w14:paraId="205CEEB8" w14:textId="6DF19340" w:rsidR="004A2EA4" w:rsidRDefault="004A2EA4" w:rsidP="004A2EA4">
      <w:r w:rsidRPr="004A2EA4">
        <w:t>(a) Distance-Decay of Vegetation Indicators</w:t>
      </w:r>
      <w:r>
        <w:t xml:space="preserve"> </w:t>
      </w:r>
      <w:r w:rsidRPr="004A2EA4">
        <w:t>(b) Directional Impact Intensity and Wind Frequency</w:t>
      </w:r>
    </w:p>
    <w:p w14:paraId="0E7CF168" w14:textId="68967549" w:rsidR="004A2EA4" w:rsidRDefault="004A2EA4" w:rsidP="004A2EA4">
      <w:r w:rsidRPr="004A2EA4">
        <w:rPr>
          <w:noProof/>
        </w:rPr>
        <w:drawing>
          <wp:inline distT="0" distB="0" distL="0" distR="0" wp14:anchorId="50B68EDD" wp14:editId="7E0FEC82">
            <wp:extent cx="2703830" cy="2100157"/>
            <wp:effectExtent l="0" t="0" r="127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1"/>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2721241" cy="2113680"/>
                    </a:xfrm>
                    <a:prstGeom prst="rect">
                      <a:avLst/>
                    </a:prstGeom>
                    <a:noFill/>
                    <a:ln>
                      <a:noFill/>
                    </a:ln>
                  </pic:spPr>
                </pic:pic>
              </a:graphicData>
            </a:graphic>
          </wp:inline>
        </w:drawing>
      </w:r>
      <w:r w:rsidRPr="004A2EA4">
        <w:t xml:space="preserve"> </w:t>
      </w:r>
      <w:r w:rsidRPr="004A2EA4">
        <w:rPr>
          <w:noProof/>
        </w:rPr>
        <w:drawing>
          <wp:inline distT="0" distB="0" distL="0" distR="0" wp14:anchorId="4AEA2784" wp14:editId="3661C532">
            <wp:extent cx="2079610" cy="2073030"/>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2"/>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2083032" cy="2076441"/>
                    </a:xfrm>
                    <a:prstGeom prst="rect">
                      <a:avLst/>
                    </a:prstGeom>
                    <a:noFill/>
                    <a:ln>
                      <a:noFill/>
                    </a:ln>
                  </pic:spPr>
                </pic:pic>
              </a:graphicData>
            </a:graphic>
          </wp:inline>
        </w:drawing>
      </w:r>
    </w:p>
    <w:p w14:paraId="14B7EDF6" w14:textId="7DB74425" w:rsidR="004A2EA4" w:rsidRDefault="004A2EA4" w:rsidP="004A2EA4">
      <w:r w:rsidRPr="004A2EA4">
        <w:t>(c) Spatial Distribution of Vegetation Health</w:t>
      </w:r>
      <w:r>
        <w:t xml:space="preserve"> </w:t>
      </w:r>
      <w:r w:rsidRPr="004A2EA4">
        <w:t>(d) Restoration Success Zone Classification</w:t>
      </w:r>
    </w:p>
    <w:p w14:paraId="3A71C3D0" w14:textId="4A43AE7C" w:rsidR="004A2EA4" w:rsidRDefault="004A2EA4" w:rsidP="004A2EA4">
      <w:r w:rsidRPr="004A2EA4">
        <w:rPr>
          <w:noProof/>
        </w:rPr>
        <w:drawing>
          <wp:inline distT="0" distB="0" distL="0" distR="0" wp14:anchorId="1ABDFED8" wp14:editId="4E745C45">
            <wp:extent cx="2385052" cy="2362954"/>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3"/>
                    <pic:cNvPicPr>
                      <a:picLocks noChangeAspect="1" noChangeArrowheads="1"/>
                    </pic:cNvPicPr>
                  </pic:nvPicPr>
                  <pic:blipFill rotWithShape="1">
                    <a:blip r:embed="rId238" cstate="print">
                      <a:extLst>
                        <a:ext uri="{28A0092B-C50C-407E-A947-70E740481C1C}">
                          <a14:useLocalDpi xmlns:a14="http://schemas.microsoft.com/office/drawing/2010/main" val="0"/>
                        </a:ext>
                      </a:extLst>
                    </a:blip>
                    <a:srcRect b="10397"/>
                    <a:stretch/>
                  </pic:blipFill>
                  <pic:spPr bwMode="auto">
                    <a:xfrm>
                      <a:off x="0" y="0"/>
                      <a:ext cx="2393533" cy="2371357"/>
                    </a:xfrm>
                    <a:prstGeom prst="rect">
                      <a:avLst/>
                    </a:prstGeom>
                    <a:noFill/>
                    <a:ln>
                      <a:noFill/>
                    </a:ln>
                    <a:extLst>
                      <a:ext uri="{53640926-AAD7-44D8-BBD7-CCE9431645EC}">
                        <a14:shadowObscured xmlns:a14="http://schemas.microsoft.com/office/drawing/2010/main"/>
                      </a:ext>
                    </a:extLst>
                  </pic:spPr>
                </pic:pic>
              </a:graphicData>
            </a:graphic>
          </wp:inline>
        </w:drawing>
      </w:r>
      <w:r w:rsidRPr="004A2EA4">
        <w:t xml:space="preserve"> </w:t>
      </w:r>
      <w:r w:rsidRPr="004A2EA4">
        <w:rPr>
          <w:noProof/>
        </w:rPr>
        <w:drawing>
          <wp:inline distT="0" distB="0" distL="0" distR="0" wp14:anchorId="10EA9C5B" wp14:editId="3F30057F">
            <wp:extent cx="2208082" cy="2362734"/>
            <wp:effectExtent l="0" t="0" r="190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4"/>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216257" cy="2371482"/>
                    </a:xfrm>
                    <a:prstGeom prst="rect">
                      <a:avLst/>
                    </a:prstGeom>
                    <a:noFill/>
                    <a:ln>
                      <a:noFill/>
                    </a:ln>
                  </pic:spPr>
                </pic:pic>
              </a:graphicData>
            </a:graphic>
          </wp:inline>
        </w:drawing>
      </w:r>
    </w:p>
    <w:p w14:paraId="5DCB47FD" w14:textId="4471D902" w:rsidR="004A2EA4" w:rsidRDefault="004A2EA4" w:rsidP="004A2EA4">
      <w:r w:rsidRPr="004A2EA4">
        <w:t>(e) Topographic Influence on Vegetation Recovery (f) Temporal Recovery Trajectories by Zone</w:t>
      </w:r>
    </w:p>
    <w:p w14:paraId="03B46F03" w14:textId="1C521445" w:rsidR="00B152B2" w:rsidRDefault="00B152B2" w:rsidP="00B152B2">
      <w:pPr>
        <w:jc w:val="center"/>
      </w:pPr>
      <w:r>
        <w:rPr>
          <w:rFonts w:hint="eastAsia"/>
        </w:rPr>
        <w:t>F</w:t>
      </w:r>
      <w:r>
        <w:t>ig.4</w:t>
      </w:r>
      <w:r w:rsidR="004A2EA4" w:rsidRPr="004A2EA4">
        <w:t xml:space="preserve"> Spatial Patterns of Vegetation Restoration Around Power Facilities</w:t>
      </w:r>
    </w:p>
    <w:p w14:paraId="4DB6C0FC" w14:textId="7D0F2FBB" w:rsidR="00B152B2" w:rsidRPr="00B152B2" w:rsidRDefault="00B152B2" w:rsidP="00B152B2">
      <w:r w:rsidRPr="00B152B2">
        <w:rPr>
          <w:b/>
          <w:bCs/>
        </w:rPr>
        <w:lastRenderedPageBreak/>
        <w:t>Figure 4.</w:t>
      </w:r>
      <w:r w:rsidRPr="00B152B2">
        <w:t xml:space="preserve"> Spatial patterns of vegetation restoration around power facilities showing (a) distance-decay relationships for multiple indicators, (b) directional impact intensity correlating with wind patterns, (c) spatial distribution of vegetation health index, (d) classification of restoration success zones, (e) topographic influence on recovery patterns, and (f) temporal recovery trajectories in different success zones</w:t>
      </w:r>
    </w:p>
    <w:p w14:paraId="08ED3D48" w14:textId="1E340BD6" w:rsidR="00B152B2" w:rsidRPr="00B152B2" w:rsidRDefault="00B152B2" w:rsidP="00B152B2">
      <w:r w:rsidRPr="00B152B2">
        <w:t>The spatial heterogeneity of restoration success was further quantified through landscape metrics analysis, revealing increasing patch connectivity and decreasing fragmentation with distance from facilities. Edge density decreased from 128.4 m/ha in the near zone to 45.2 m/ha in the far zone, indicating more consolidated vegetation patches in less impacted areas. The mean patch size increased correspondingly from 2.3 ha to 18.7 ha along the same gradient. Table 7 summarizes the key spatial metrics characterizing vegetation patterns across the impact gradient.</w:t>
      </w:r>
    </w:p>
    <w:p w14:paraId="1054A510" w14:textId="77777777" w:rsidR="00B152B2" w:rsidRPr="00B152B2" w:rsidRDefault="00B152B2" w:rsidP="00B152B2">
      <w:pPr>
        <w:jc w:val="center"/>
      </w:pPr>
      <w:r w:rsidRPr="00B152B2">
        <w:rPr>
          <w:b/>
          <w:bCs/>
        </w:rPr>
        <w:t>Table 7.</w:t>
      </w:r>
      <w:r w:rsidRPr="00B152B2">
        <w:t xml:space="preserve"> Spatial landscape metrics across distance zones from power facilities</w:t>
      </w:r>
    </w:p>
    <w:tbl>
      <w:tblPr>
        <w:tblStyle w:val="11"/>
        <w:tblW w:w="0" w:type="auto"/>
        <w:tblLook w:val="04A0" w:firstRow="1" w:lastRow="0" w:firstColumn="1" w:lastColumn="0" w:noHBand="0" w:noVBand="1"/>
      </w:tblPr>
      <w:tblGrid>
        <w:gridCol w:w="1046"/>
        <w:gridCol w:w="1273"/>
        <w:gridCol w:w="967"/>
        <w:gridCol w:w="1078"/>
        <w:gridCol w:w="1411"/>
        <w:gridCol w:w="1153"/>
        <w:gridCol w:w="1378"/>
      </w:tblGrid>
      <w:tr w:rsidR="00B152B2" w:rsidRPr="00B152B2" w14:paraId="332C06F6" w14:textId="77777777" w:rsidTr="00B152B2">
        <w:trPr>
          <w:cnfStyle w:val="100000000000" w:firstRow="1" w:lastRow="0" w:firstColumn="0" w:lastColumn="0" w:oddVBand="0" w:evenVBand="0" w:oddHBand="0" w:evenHBand="0" w:firstRowFirstColumn="0" w:firstRowLastColumn="0" w:lastRowFirstColumn="0" w:lastRowLastColumn="0"/>
        </w:trPr>
        <w:tc>
          <w:tcPr>
            <w:tcW w:w="0" w:type="auto"/>
            <w:hideMark/>
          </w:tcPr>
          <w:p w14:paraId="1A4D093E" w14:textId="77777777" w:rsidR="00B152B2" w:rsidRPr="00B152B2" w:rsidRDefault="00B152B2" w:rsidP="00B152B2">
            <w:pPr>
              <w:jc w:val="center"/>
              <w:rPr>
                <w:b/>
                <w:bCs/>
              </w:rPr>
            </w:pPr>
            <w:r w:rsidRPr="00B152B2">
              <w:rPr>
                <w:b/>
                <w:bCs/>
              </w:rPr>
              <w:t>Distance Zone</w:t>
            </w:r>
          </w:p>
        </w:tc>
        <w:tc>
          <w:tcPr>
            <w:tcW w:w="0" w:type="auto"/>
            <w:hideMark/>
          </w:tcPr>
          <w:p w14:paraId="18684C5E" w14:textId="77777777" w:rsidR="00B152B2" w:rsidRPr="00B152B2" w:rsidRDefault="00B152B2" w:rsidP="00B152B2">
            <w:pPr>
              <w:jc w:val="center"/>
              <w:rPr>
                <w:b/>
                <w:bCs/>
              </w:rPr>
            </w:pPr>
            <w:r w:rsidRPr="00B152B2">
              <w:rPr>
                <w:b/>
                <w:bCs/>
              </w:rPr>
              <w:t>Patch Density (n/100ha)</w:t>
            </w:r>
          </w:p>
        </w:tc>
        <w:tc>
          <w:tcPr>
            <w:tcW w:w="0" w:type="auto"/>
            <w:hideMark/>
          </w:tcPr>
          <w:p w14:paraId="74467881" w14:textId="77777777" w:rsidR="00B152B2" w:rsidRPr="00B152B2" w:rsidRDefault="00B152B2" w:rsidP="00B152B2">
            <w:pPr>
              <w:jc w:val="center"/>
              <w:rPr>
                <w:b/>
                <w:bCs/>
              </w:rPr>
            </w:pPr>
            <w:r w:rsidRPr="00B152B2">
              <w:rPr>
                <w:b/>
                <w:bCs/>
              </w:rPr>
              <w:t>Mean Patch Size (ha)</w:t>
            </w:r>
          </w:p>
        </w:tc>
        <w:tc>
          <w:tcPr>
            <w:tcW w:w="0" w:type="auto"/>
            <w:hideMark/>
          </w:tcPr>
          <w:p w14:paraId="4E89DC35" w14:textId="77777777" w:rsidR="00B152B2" w:rsidRPr="00B152B2" w:rsidRDefault="00B152B2" w:rsidP="00B152B2">
            <w:pPr>
              <w:jc w:val="center"/>
              <w:rPr>
                <w:b/>
                <w:bCs/>
              </w:rPr>
            </w:pPr>
            <w:r w:rsidRPr="00B152B2">
              <w:rPr>
                <w:b/>
                <w:bCs/>
              </w:rPr>
              <w:t>Edge Density (m/ha)</w:t>
            </w:r>
          </w:p>
        </w:tc>
        <w:tc>
          <w:tcPr>
            <w:tcW w:w="0" w:type="auto"/>
            <w:hideMark/>
          </w:tcPr>
          <w:p w14:paraId="19D1B419" w14:textId="77777777" w:rsidR="00B152B2" w:rsidRPr="00B152B2" w:rsidRDefault="00B152B2" w:rsidP="00B152B2">
            <w:pPr>
              <w:jc w:val="center"/>
              <w:rPr>
                <w:b/>
                <w:bCs/>
              </w:rPr>
            </w:pPr>
            <w:r w:rsidRPr="00B152B2">
              <w:rPr>
                <w:b/>
                <w:bCs/>
              </w:rPr>
              <w:t>Connectivity Index</w:t>
            </w:r>
          </w:p>
        </w:tc>
        <w:tc>
          <w:tcPr>
            <w:tcW w:w="0" w:type="auto"/>
            <w:hideMark/>
          </w:tcPr>
          <w:p w14:paraId="1CF6EA91" w14:textId="77777777" w:rsidR="00B152B2" w:rsidRPr="00B152B2" w:rsidRDefault="00B152B2" w:rsidP="00B152B2">
            <w:pPr>
              <w:jc w:val="center"/>
              <w:rPr>
                <w:b/>
                <w:bCs/>
              </w:rPr>
            </w:pPr>
            <w:r w:rsidRPr="00B152B2">
              <w:rPr>
                <w:b/>
                <w:bCs/>
              </w:rPr>
              <w:t>Shannon Diversity</w:t>
            </w:r>
          </w:p>
        </w:tc>
        <w:tc>
          <w:tcPr>
            <w:tcW w:w="0" w:type="auto"/>
            <w:hideMark/>
          </w:tcPr>
          <w:p w14:paraId="47917B17" w14:textId="77777777" w:rsidR="00B152B2" w:rsidRPr="00B152B2" w:rsidRDefault="00B152B2" w:rsidP="00B152B2">
            <w:pPr>
              <w:jc w:val="center"/>
              <w:rPr>
                <w:b/>
                <w:bCs/>
              </w:rPr>
            </w:pPr>
            <w:r w:rsidRPr="00B152B2">
              <w:rPr>
                <w:b/>
                <w:bCs/>
              </w:rPr>
              <w:t>Aggregation Index</w:t>
            </w:r>
          </w:p>
        </w:tc>
      </w:tr>
      <w:tr w:rsidR="00B152B2" w:rsidRPr="00B152B2" w14:paraId="7D662932" w14:textId="77777777" w:rsidTr="00B152B2">
        <w:tc>
          <w:tcPr>
            <w:tcW w:w="0" w:type="auto"/>
            <w:hideMark/>
          </w:tcPr>
          <w:p w14:paraId="3B13CA88" w14:textId="77777777" w:rsidR="00B152B2" w:rsidRPr="00B152B2" w:rsidRDefault="00B152B2" w:rsidP="00B152B2">
            <w:pPr>
              <w:jc w:val="center"/>
            </w:pPr>
            <w:r w:rsidRPr="00B152B2">
              <w:t>0-5 km</w:t>
            </w:r>
          </w:p>
        </w:tc>
        <w:tc>
          <w:tcPr>
            <w:tcW w:w="0" w:type="auto"/>
            <w:hideMark/>
          </w:tcPr>
          <w:p w14:paraId="014DA1F8" w14:textId="77777777" w:rsidR="00B152B2" w:rsidRPr="00B152B2" w:rsidRDefault="00B152B2" w:rsidP="00B152B2">
            <w:pPr>
              <w:jc w:val="center"/>
            </w:pPr>
            <w:r w:rsidRPr="00B152B2">
              <w:t>45.6 ± 8.2</w:t>
            </w:r>
          </w:p>
        </w:tc>
        <w:tc>
          <w:tcPr>
            <w:tcW w:w="0" w:type="auto"/>
            <w:hideMark/>
          </w:tcPr>
          <w:p w14:paraId="1A4B636A" w14:textId="77777777" w:rsidR="00B152B2" w:rsidRPr="00B152B2" w:rsidRDefault="00B152B2" w:rsidP="00B152B2">
            <w:pPr>
              <w:jc w:val="center"/>
            </w:pPr>
            <w:r w:rsidRPr="00B152B2">
              <w:t>2.3 ± 0.8</w:t>
            </w:r>
          </w:p>
        </w:tc>
        <w:tc>
          <w:tcPr>
            <w:tcW w:w="0" w:type="auto"/>
            <w:hideMark/>
          </w:tcPr>
          <w:p w14:paraId="59319573" w14:textId="77777777" w:rsidR="00B152B2" w:rsidRPr="00B152B2" w:rsidRDefault="00B152B2" w:rsidP="00B152B2">
            <w:pPr>
              <w:jc w:val="center"/>
            </w:pPr>
            <w:r w:rsidRPr="00B152B2">
              <w:t>128.4 ± 15.3</w:t>
            </w:r>
          </w:p>
        </w:tc>
        <w:tc>
          <w:tcPr>
            <w:tcW w:w="0" w:type="auto"/>
            <w:hideMark/>
          </w:tcPr>
          <w:p w14:paraId="5E3F4E1B" w14:textId="77777777" w:rsidR="00B152B2" w:rsidRPr="00B152B2" w:rsidRDefault="00B152B2" w:rsidP="00B152B2">
            <w:pPr>
              <w:jc w:val="center"/>
            </w:pPr>
            <w:r w:rsidRPr="00B152B2">
              <w:t>0.23 ± 0.06</w:t>
            </w:r>
          </w:p>
        </w:tc>
        <w:tc>
          <w:tcPr>
            <w:tcW w:w="0" w:type="auto"/>
            <w:hideMark/>
          </w:tcPr>
          <w:p w14:paraId="3DA44491" w14:textId="77777777" w:rsidR="00B152B2" w:rsidRPr="00B152B2" w:rsidRDefault="00B152B2" w:rsidP="00B152B2">
            <w:pPr>
              <w:jc w:val="center"/>
            </w:pPr>
            <w:r w:rsidRPr="00B152B2">
              <w:t>1.45 ± 0.12</w:t>
            </w:r>
          </w:p>
        </w:tc>
        <w:tc>
          <w:tcPr>
            <w:tcW w:w="0" w:type="auto"/>
            <w:hideMark/>
          </w:tcPr>
          <w:p w14:paraId="61E73196" w14:textId="77777777" w:rsidR="00B152B2" w:rsidRPr="00B152B2" w:rsidRDefault="00B152B2" w:rsidP="00B152B2">
            <w:pPr>
              <w:jc w:val="center"/>
            </w:pPr>
            <w:r w:rsidRPr="00B152B2">
              <w:t>68.2 ± 5.4</w:t>
            </w:r>
          </w:p>
        </w:tc>
      </w:tr>
      <w:tr w:rsidR="00B152B2" w:rsidRPr="00B152B2" w14:paraId="5F63228B" w14:textId="77777777" w:rsidTr="00B152B2">
        <w:tc>
          <w:tcPr>
            <w:tcW w:w="0" w:type="auto"/>
            <w:hideMark/>
          </w:tcPr>
          <w:p w14:paraId="53475DF8" w14:textId="77777777" w:rsidR="00B152B2" w:rsidRPr="00B152B2" w:rsidRDefault="00B152B2" w:rsidP="00B152B2">
            <w:pPr>
              <w:jc w:val="center"/>
            </w:pPr>
            <w:r w:rsidRPr="00B152B2">
              <w:t>5-10 km</w:t>
            </w:r>
          </w:p>
        </w:tc>
        <w:tc>
          <w:tcPr>
            <w:tcW w:w="0" w:type="auto"/>
            <w:hideMark/>
          </w:tcPr>
          <w:p w14:paraId="73ECE834" w14:textId="77777777" w:rsidR="00B152B2" w:rsidRPr="00B152B2" w:rsidRDefault="00B152B2" w:rsidP="00B152B2">
            <w:pPr>
              <w:jc w:val="center"/>
            </w:pPr>
            <w:r w:rsidRPr="00B152B2">
              <w:t>32.4 ± 6.5</w:t>
            </w:r>
          </w:p>
        </w:tc>
        <w:tc>
          <w:tcPr>
            <w:tcW w:w="0" w:type="auto"/>
            <w:hideMark/>
          </w:tcPr>
          <w:p w14:paraId="62950F6B" w14:textId="77777777" w:rsidR="00B152B2" w:rsidRPr="00B152B2" w:rsidRDefault="00B152B2" w:rsidP="00B152B2">
            <w:pPr>
              <w:jc w:val="center"/>
            </w:pPr>
            <w:r w:rsidRPr="00B152B2">
              <w:t>4.8 ± 1.2</w:t>
            </w:r>
          </w:p>
        </w:tc>
        <w:tc>
          <w:tcPr>
            <w:tcW w:w="0" w:type="auto"/>
            <w:hideMark/>
          </w:tcPr>
          <w:p w14:paraId="0B7D77E2" w14:textId="77777777" w:rsidR="00B152B2" w:rsidRPr="00B152B2" w:rsidRDefault="00B152B2" w:rsidP="00B152B2">
            <w:pPr>
              <w:jc w:val="center"/>
            </w:pPr>
            <w:r w:rsidRPr="00B152B2">
              <w:t>98.6 ± 12.1</w:t>
            </w:r>
          </w:p>
        </w:tc>
        <w:tc>
          <w:tcPr>
            <w:tcW w:w="0" w:type="auto"/>
            <w:hideMark/>
          </w:tcPr>
          <w:p w14:paraId="676CBDD0" w14:textId="77777777" w:rsidR="00B152B2" w:rsidRPr="00B152B2" w:rsidRDefault="00B152B2" w:rsidP="00B152B2">
            <w:pPr>
              <w:jc w:val="center"/>
            </w:pPr>
            <w:r w:rsidRPr="00B152B2">
              <w:t>0.38 ± 0.08</w:t>
            </w:r>
          </w:p>
        </w:tc>
        <w:tc>
          <w:tcPr>
            <w:tcW w:w="0" w:type="auto"/>
            <w:hideMark/>
          </w:tcPr>
          <w:p w14:paraId="51BAD4EA" w14:textId="77777777" w:rsidR="00B152B2" w:rsidRPr="00B152B2" w:rsidRDefault="00B152B2" w:rsidP="00B152B2">
            <w:pPr>
              <w:jc w:val="center"/>
            </w:pPr>
            <w:r w:rsidRPr="00B152B2">
              <w:t>1.72 ± 0.15</w:t>
            </w:r>
          </w:p>
        </w:tc>
        <w:tc>
          <w:tcPr>
            <w:tcW w:w="0" w:type="auto"/>
            <w:hideMark/>
          </w:tcPr>
          <w:p w14:paraId="0786F49F" w14:textId="77777777" w:rsidR="00B152B2" w:rsidRPr="00B152B2" w:rsidRDefault="00B152B2" w:rsidP="00B152B2">
            <w:pPr>
              <w:jc w:val="center"/>
            </w:pPr>
            <w:r w:rsidRPr="00B152B2">
              <w:t>74.5 ± 4.8</w:t>
            </w:r>
          </w:p>
        </w:tc>
      </w:tr>
      <w:tr w:rsidR="00B152B2" w:rsidRPr="00B152B2" w14:paraId="480875E7" w14:textId="77777777" w:rsidTr="00B152B2">
        <w:tc>
          <w:tcPr>
            <w:tcW w:w="0" w:type="auto"/>
            <w:hideMark/>
          </w:tcPr>
          <w:p w14:paraId="793123D5" w14:textId="77777777" w:rsidR="00B152B2" w:rsidRPr="00B152B2" w:rsidRDefault="00B152B2" w:rsidP="00B152B2">
            <w:pPr>
              <w:jc w:val="center"/>
            </w:pPr>
            <w:r w:rsidRPr="00B152B2">
              <w:t>10-15 km</w:t>
            </w:r>
          </w:p>
        </w:tc>
        <w:tc>
          <w:tcPr>
            <w:tcW w:w="0" w:type="auto"/>
            <w:hideMark/>
          </w:tcPr>
          <w:p w14:paraId="6D388D73" w14:textId="77777777" w:rsidR="00B152B2" w:rsidRPr="00B152B2" w:rsidRDefault="00B152B2" w:rsidP="00B152B2">
            <w:pPr>
              <w:jc w:val="center"/>
            </w:pPr>
            <w:r w:rsidRPr="00B152B2">
              <w:t>24.3 ± 5.1</w:t>
            </w:r>
          </w:p>
        </w:tc>
        <w:tc>
          <w:tcPr>
            <w:tcW w:w="0" w:type="auto"/>
            <w:hideMark/>
          </w:tcPr>
          <w:p w14:paraId="2D976459" w14:textId="77777777" w:rsidR="00B152B2" w:rsidRPr="00B152B2" w:rsidRDefault="00B152B2" w:rsidP="00B152B2">
            <w:pPr>
              <w:jc w:val="center"/>
            </w:pPr>
            <w:r w:rsidRPr="00B152B2">
              <w:t>8.2 ± 1.8</w:t>
            </w:r>
          </w:p>
        </w:tc>
        <w:tc>
          <w:tcPr>
            <w:tcW w:w="0" w:type="auto"/>
            <w:hideMark/>
          </w:tcPr>
          <w:p w14:paraId="23F16FA5" w14:textId="77777777" w:rsidR="00B152B2" w:rsidRPr="00B152B2" w:rsidRDefault="00B152B2" w:rsidP="00B152B2">
            <w:pPr>
              <w:jc w:val="center"/>
            </w:pPr>
            <w:r w:rsidRPr="00B152B2">
              <w:t>76.3 ± 9.8</w:t>
            </w:r>
          </w:p>
        </w:tc>
        <w:tc>
          <w:tcPr>
            <w:tcW w:w="0" w:type="auto"/>
            <w:hideMark/>
          </w:tcPr>
          <w:p w14:paraId="0054C119" w14:textId="77777777" w:rsidR="00B152B2" w:rsidRPr="00B152B2" w:rsidRDefault="00B152B2" w:rsidP="00B152B2">
            <w:pPr>
              <w:jc w:val="center"/>
            </w:pPr>
            <w:r w:rsidRPr="00B152B2">
              <w:t>0.52 ± 0.09</w:t>
            </w:r>
          </w:p>
        </w:tc>
        <w:tc>
          <w:tcPr>
            <w:tcW w:w="0" w:type="auto"/>
            <w:hideMark/>
          </w:tcPr>
          <w:p w14:paraId="4E807961" w14:textId="77777777" w:rsidR="00B152B2" w:rsidRPr="00B152B2" w:rsidRDefault="00B152B2" w:rsidP="00B152B2">
            <w:pPr>
              <w:jc w:val="center"/>
            </w:pPr>
            <w:r w:rsidRPr="00B152B2">
              <w:t>1.95 ± 0.14</w:t>
            </w:r>
          </w:p>
        </w:tc>
        <w:tc>
          <w:tcPr>
            <w:tcW w:w="0" w:type="auto"/>
            <w:hideMark/>
          </w:tcPr>
          <w:p w14:paraId="31BD58E7" w14:textId="77777777" w:rsidR="00B152B2" w:rsidRPr="00B152B2" w:rsidRDefault="00B152B2" w:rsidP="00B152B2">
            <w:pPr>
              <w:jc w:val="center"/>
            </w:pPr>
            <w:r w:rsidRPr="00B152B2">
              <w:t>79.8 ± 4.2</w:t>
            </w:r>
          </w:p>
        </w:tc>
      </w:tr>
      <w:tr w:rsidR="00B152B2" w:rsidRPr="00B152B2" w14:paraId="7FD858DA" w14:textId="77777777" w:rsidTr="00B152B2">
        <w:tc>
          <w:tcPr>
            <w:tcW w:w="0" w:type="auto"/>
            <w:hideMark/>
          </w:tcPr>
          <w:p w14:paraId="079FEC8C" w14:textId="77777777" w:rsidR="00B152B2" w:rsidRPr="00B152B2" w:rsidRDefault="00B152B2" w:rsidP="00B152B2">
            <w:pPr>
              <w:jc w:val="center"/>
            </w:pPr>
            <w:r w:rsidRPr="00B152B2">
              <w:t>15-20 km</w:t>
            </w:r>
          </w:p>
        </w:tc>
        <w:tc>
          <w:tcPr>
            <w:tcW w:w="0" w:type="auto"/>
            <w:hideMark/>
          </w:tcPr>
          <w:p w14:paraId="1D42713B" w14:textId="77777777" w:rsidR="00B152B2" w:rsidRPr="00B152B2" w:rsidRDefault="00B152B2" w:rsidP="00B152B2">
            <w:pPr>
              <w:jc w:val="center"/>
            </w:pPr>
            <w:r w:rsidRPr="00B152B2">
              <w:t>18.7 ± 4.2</w:t>
            </w:r>
          </w:p>
        </w:tc>
        <w:tc>
          <w:tcPr>
            <w:tcW w:w="0" w:type="auto"/>
            <w:hideMark/>
          </w:tcPr>
          <w:p w14:paraId="18FEAB05" w14:textId="77777777" w:rsidR="00B152B2" w:rsidRPr="00B152B2" w:rsidRDefault="00B152B2" w:rsidP="00B152B2">
            <w:pPr>
              <w:jc w:val="center"/>
            </w:pPr>
            <w:r w:rsidRPr="00B152B2">
              <w:t>12.5 ± 2.4</w:t>
            </w:r>
          </w:p>
        </w:tc>
        <w:tc>
          <w:tcPr>
            <w:tcW w:w="0" w:type="auto"/>
            <w:hideMark/>
          </w:tcPr>
          <w:p w14:paraId="7CF39656" w14:textId="77777777" w:rsidR="00B152B2" w:rsidRPr="00B152B2" w:rsidRDefault="00B152B2" w:rsidP="00B152B2">
            <w:pPr>
              <w:jc w:val="center"/>
            </w:pPr>
            <w:r w:rsidRPr="00B152B2">
              <w:t>58.9 ± 7.6</w:t>
            </w:r>
          </w:p>
        </w:tc>
        <w:tc>
          <w:tcPr>
            <w:tcW w:w="0" w:type="auto"/>
            <w:hideMark/>
          </w:tcPr>
          <w:p w14:paraId="27DB51F0" w14:textId="77777777" w:rsidR="00B152B2" w:rsidRPr="00B152B2" w:rsidRDefault="00B152B2" w:rsidP="00B152B2">
            <w:pPr>
              <w:jc w:val="center"/>
            </w:pPr>
            <w:r w:rsidRPr="00B152B2">
              <w:t>0.68 ± 0.10</w:t>
            </w:r>
          </w:p>
        </w:tc>
        <w:tc>
          <w:tcPr>
            <w:tcW w:w="0" w:type="auto"/>
            <w:hideMark/>
          </w:tcPr>
          <w:p w14:paraId="23E31EDC" w14:textId="77777777" w:rsidR="00B152B2" w:rsidRPr="00B152B2" w:rsidRDefault="00B152B2" w:rsidP="00B152B2">
            <w:pPr>
              <w:jc w:val="center"/>
            </w:pPr>
            <w:r w:rsidRPr="00B152B2">
              <w:t>2.18 ± 0.16</w:t>
            </w:r>
          </w:p>
        </w:tc>
        <w:tc>
          <w:tcPr>
            <w:tcW w:w="0" w:type="auto"/>
            <w:hideMark/>
          </w:tcPr>
          <w:p w14:paraId="5B239A03" w14:textId="77777777" w:rsidR="00B152B2" w:rsidRPr="00B152B2" w:rsidRDefault="00B152B2" w:rsidP="00B152B2">
            <w:pPr>
              <w:jc w:val="center"/>
            </w:pPr>
            <w:r w:rsidRPr="00B152B2">
              <w:t>84.3 ± 3.8</w:t>
            </w:r>
          </w:p>
        </w:tc>
      </w:tr>
      <w:tr w:rsidR="00B152B2" w:rsidRPr="00B152B2" w14:paraId="5EF3EC67" w14:textId="77777777" w:rsidTr="00B152B2">
        <w:tc>
          <w:tcPr>
            <w:tcW w:w="0" w:type="auto"/>
            <w:hideMark/>
          </w:tcPr>
          <w:p w14:paraId="29D59563" w14:textId="77777777" w:rsidR="00B152B2" w:rsidRPr="00B152B2" w:rsidRDefault="00B152B2" w:rsidP="00B152B2">
            <w:pPr>
              <w:jc w:val="center"/>
            </w:pPr>
            <w:r w:rsidRPr="00B152B2">
              <w:t>20-30 km</w:t>
            </w:r>
          </w:p>
        </w:tc>
        <w:tc>
          <w:tcPr>
            <w:tcW w:w="0" w:type="auto"/>
            <w:hideMark/>
          </w:tcPr>
          <w:p w14:paraId="01D0C9EA" w14:textId="77777777" w:rsidR="00B152B2" w:rsidRPr="00B152B2" w:rsidRDefault="00B152B2" w:rsidP="00B152B2">
            <w:pPr>
              <w:jc w:val="center"/>
            </w:pPr>
            <w:r w:rsidRPr="00B152B2">
              <w:t>12.4 ± 3.1</w:t>
            </w:r>
          </w:p>
        </w:tc>
        <w:tc>
          <w:tcPr>
            <w:tcW w:w="0" w:type="auto"/>
            <w:hideMark/>
          </w:tcPr>
          <w:p w14:paraId="41DECC68" w14:textId="77777777" w:rsidR="00B152B2" w:rsidRPr="00B152B2" w:rsidRDefault="00B152B2" w:rsidP="00B152B2">
            <w:pPr>
              <w:jc w:val="center"/>
            </w:pPr>
            <w:r w:rsidRPr="00B152B2">
              <w:t>16.8 ± 3.2</w:t>
            </w:r>
          </w:p>
        </w:tc>
        <w:tc>
          <w:tcPr>
            <w:tcW w:w="0" w:type="auto"/>
            <w:hideMark/>
          </w:tcPr>
          <w:p w14:paraId="1B5486AE" w14:textId="77777777" w:rsidR="00B152B2" w:rsidRPr="00B152B2" w:rsidRDefault="00B152B2" w:rsidP="00B152B2">
            <w:pPr>
              <w:jc w:val="center"/>
            </w:pPr>
            <w:r w:rsidRPr="00B152B2">
              <w:t>48.2 ± 6.2</w:t>
            </w:r>
          </w:p>
        </w:tc>
        <w:tc>
          <w:tcPr>
            <w:tcW w:w="0" w:type="auto"/>
            <w:hideMark/>
          </w:tcPr>
          <w:p w14:paraId="14BF83FA" w14:textId="77777777" w:rsidR="00B152B2" w:rsidRPr="00B152B2" w:rsidRDefault="00B152B2" w:rsidP="00B152B2">
            <w:pPr>
              <w:jc w:val="center"/>
            </w:pPr>
            <w:r w:rsidRPr="00B152B2">
              <w:t>0.78 ± 0.08</w:t>
            </w:r>
          </w:p>
        </w:tc>
        <w:tc>
          <w:tcPr>
            <w:tcW w:w="0" w:type="auto"/>
            <w:hideMark/>
          </w:tcPr>
          <w:p w14:paraId="1236BB3B" w14:textId="77777777" w:rsidR="00B152B2" w:rsidRPr="00B152B2" w:rsidRDefault="00B152B2" w:rsidP="00B152B2">
            <w:pPr>
              <w:jc w:val="center"/>
            </w:pPr>
            <w:r w:rsidRPr="00B152B2">
              <w:t>2.34 ± 0.14</w:t>
            </w:r>
          </w:p>
        </w:tc>
        <w:tc>
          <w:tcPr>
            <w:tcW w:w="0" w:type="auto"/>
            <w:hideMark/>
          </w:tcPr>
          <w:p w14:paraId="58B97CC1" w14:textId="77777777" w:rsidR="00B152B2" w:rsidRPr="00B152B2" w:rsidRDefault="00B152B2" w:rsidP="00B152B2">
            <w:pPr>
              <w:jc w:val="center"/>
            </w:pPr>
            <w:r w:rsidRPr="00B152B2">
              <w:t>87.6 ± 3.2</w:t>
            </w:r>
          </w:p>
        </w:tc>
      </w:tr>
      <w:tr w:rsidR="00B152B2" w:rsidRPr="00B152B2" w14:paraId="6EBAF766" w14:textId="77777777" w:rsidTr="00B152B2">
        <w:tc>
          <w:tcPr>
            <w:tcW w:w="0" w:type="auto"/>
            <w:hideMark/>
          </w:tcPr>
          <w:p w14:paraId="4EC101A9" w14:textId="77777777" w:rsidR="00B152B2" w:rsidRPr="00B152B2" w:rsidRDefault="00B152B2" w:rsidP="00B152B2">
            <w:pPr>
              <w:jc w:val="center"/>
            </w:pPr>
            <w:r w:rsidRPr="00B152B2">
              <w:t>&gt;30 km</w:t>
            </w:r>
          </w:p>
        </w:tc>
        <w:tc>
          <w:tcPr>
            <w:tcW w:w="0" w:type="auto"/>
            <w:hideMark/>
          </w:tcPr>
          <w:p w14:paraId="5D698CDB" w14:textId="77777777" w:rsidR="00B152B2" w:rsidRPr="00B152B2" w:rsidRDefault="00B152B2" w:rsidP="00B152B2">
            <w:pPr>
              <w:jc w:val="center"/>
            </w:pPr>
            <w:r w:rsidRPr="00B152B2">
              <w:t>8.6 ± 2.2</w:t>
            </w:r>
          </w:p>
        </w:tc>
        <w:tc>
          <w:tcPr>
            <w:tcW w:w="0" w:type="auto"/>
            <w:hideMark/>
          </w:tcPr>
          <w:p w14:paraId="354D8CF1" w14:textId="77777777" w:rsidR="00B152B2" w:rsidRPr="00B152B2" w:rsidRDefault="00B152B2" w:rsidP="00B152B2">
            <w:pPr>
              <w:jc w:val="center"/>
            </w:pPr>
            <w:r w:rsidRPr="00B152B2">
              <w:t>18.7 ± 3.6</w:t>
            </w:r>
          </w:p>
        </w:tc>
        <w:tc>
          <w:tcPr>
            <w:tcW w:w="0" w:type="auto"/>
            <w:hideMark/>
          </w:tcPr>
          <w:p w14:paraId="7B24DC27" w14:textId="77777777" w:rsidR="00B152B2" w:rsidRPr="00B152B2" w:rsidRDefault="00B152B2" w:rsidP="00B152B2">
            <w:pPr>
              <w:jc w:val="center"/>
            </w:pPr>
            <w:r w:rsidRPr="00B152B2">
              <w:t>45.2 ± 5.8</w:t>
            </w:r>
          </w:p>
        </w:tc>
        <w:tc>
          <w:tcPr>
            <w:tcW w:w="0" w:type="auto"/>
            <w:hideMark/>
          </w:tcPr>
          <w:p w14:paraId="501EC5DE" w14:textId="77777777" w:rsidR="00B152B2" w:rsidRPr="00B152B2" w:rsidRDefault="00B152B2" w:rsidP="00B152B2">
            <w:pPr>
              <w:jc w:val="center"/>
            </w:pPr>
            <w:r w:rsidRPr="00B152B2">
              <w:t>0.85 ± 0.06</w:t>
            </w:r>
          </w:p>
        </w:tc>
        <w:tc>
          <w:tcPr>
            <w:tcW w:w="0" w:type="auto"/>
            <w:hideMark/>
          </w:tcPr>
          <w:p w14:paraId="4799BFAC" w14:textId="77777777" w:rsidR="00B152B2" w:rsidRPr="00B152B2" w:rsidRDefault="00B152B2" w:rsidP="00B152B2">
            <w:pPr>
              <w:jc w:val="center"/>
            </w:pPr>
            <w:r w:rsidRPr="00B152B2">
              <w:t>2.42 ± 0.12</w:t>
            </w:r>
          </w:p>
        </w:tc>
        <w:tc>
          <w:tcPr>
            <w:tcW w:w="0" w:type="auto"/>
            <w:hideMark/>
          </w:tcPr>
          <w:p w14:paraId="705B0425" w14:textId="77777777" w:rsidR="00B152B2" w:rsidRPr="00B152B2" w:rsidRDefault="00B152B2" w:rsidP="00B152B2">
            <w:pPr>
              <w:jc w:val="center"/>
            </w:pPr>
            <w:r w:rsidRPr="00B152B2">
              <w:t>89.8 ± 2.8</w:t>
            </w:r>
          </w:p>
        </w:tc>
      </w:tr>
    </w:tbl>
    <w:p w14:paraId="15B1FCEB" w14:textId="77777777" w:rsidR="00B152B2" w:rsidRPr="00B152B2" w:rsidRDefault="00B152B2" w:rsidP="00B152B2">
      <w:r w:rsidRPr="00B152B2">
        <w:t>The landscape metrics analysis revealed systematic improvements in spatial configuration with increasing distance from power facilities, indicating not only quantitative increases in vegetation coverage but also qualitative improvements in landscape structure conducive to ecological functioning and long-term sustainability.</w:t>
      </w:r>
    </w:p>
    <w:bookmarkEnd w:id="4"/>
    <w:p w14:paraId="0139499D" w14:textId="480CBBF3" w:rsidR="00FC4262" w:rsidRDefault="00FC4262" w:rsidP="00FC4262">
      <w:pPr>
        <w:pStyle w:val="3"/>
      </w:pPr>
      <w:r w:rsidRPr="00FC4262">
        <w:t>3.5 Environmental Factor Correlation</w:t>
      </w:r>
    </w:p>
    <w:p w14:paraId="231B3130" w14:textId="77777777" w:rsidR="002D61EC" w:rsidRPr="002D61EC" w:rsidRDefault="002D61EC" w:rsidP="002D61EC">
      <w:r w:rsidRPr="002D61EC">
        <w:t>Temperature emerged as a critical environmental driver of vegetation restoration success, with analysis revealing complex non-linear relationships between thermal regimes and recovery rates. Mean annual temperature across the study area ranged from 6.8°C to 10.2°C, with locations experiencing higher temperatures showing accelerated spring green-up but increased summer stress vulnerability. The optimal temperature range for restoration occurred between 8.5-9.5°C, where vegetation recovery rates averaged 6.8% annually compared to 3.2% in areas experiencing temperature extremes. Seasonal temperature variations proved equally important, with sites experiencing moderate temperature fluctuations (annual range 28-32°C) demonstrating more stable recovery trajectories than those with extreme seasonal contrasts. The thermal stress index, calculated from summer maximum temperatures exceeding 30°C, showed strong negative correlation with vegetation establishment success, particularly within 15 km of power facilities where urban heat island effects compounded industrial impacts.</w:t>
      </w:r>
    </w:p>
    <w:p w14:paraId="653AB7E8" w14:textId="77777777" w:rsidR="002D61EC" w:rsidRPr="002D61EC" w:rsidRDefault="002D61EC" w:rsidP="002D61EC">
      <w:r w:rsidRPr="002D61EC">
        <w:lastRenderedPageBreak/>
        <w:t>Precipitation patterns exhibited pronounced spatial and temporal heterogeneity that significantly influenced restoration outcomes across the monitoring network. Annual precipitation varied from 380 mm in rain shadow areas to 485 mm on windward slopes, creating distinct moisture gradients that interacted with distance from power facilities to determine vegetation recovery potential. The timing of precipitation proved more critical than total amounts, with sites receiving &gt;65% of annual rainfall during the growing season (May-September) showing 42% higher restoration success rates. Drought frequency analysis revealed that areas experiencing more than two consecutive months with &lt;30 mm precipitation showed significantly delayed recovery, with these moisture deficits explaining 38% of the variance in restoration success. The precipitation effectiveness index, incorporating both amount and seasonal distribution, ranged from 0.42 in stressed areas to 0.78 in optimal zones.</w:t>
      </w:r>
    </w:p>
    <w:p w14:paraId="18AE2556" w14:textId="77777777" w:rsidR="002D61EC" w:rsidRPr="002D61EC" w:rsidRDefault="002D61EC" w:rsidP="002D61EC">
      <w:r w:rsidRPr="002D61EC">
        <w:t>Soil quality indicators demonstrated systematic degradation near power facilities, with recovery of soil properties lagging behind aboveground vegetation metrics by 2-3 years. Soil pH values increased from background levels of 6.8±0.3 to 7.6±0.5 within 5 km of facilities due to alkaline dust deposition, creating challenging conditions for native species establishment. Organic matter content showed the steepest gradients, declining from 4.2% in reference areas to 1.8% near facilities, directly impacting water retention capacity and nutrient availability. Heavy metal concentrations, particularly lead and cadmium, exceeded regional background levels by factors of 3.2 and 2.8 respectively within the impact zone, though phytoremediation efforts showed promising reduction trends in areas with established vegetation cover. Soil biological activity, measured through enzyme assays and microbial biomass, demonstrated recovery potential once vegetation coverage exceeded 60%, suggesting critical thresholds for ecosystem functioning restoration.</w:t>
      </w:r>
    </w:p>
    <w:p w14:paraId="6BDB16DA" w14:textId="19DFD285" w:rsidR="002D61EC" w:rsidRDefault="002D61EC" w:rsidP="002D61EC">
      <w:r w:rsidRPr="002D61EC">
        <w:t>Air quality parameters maintained strong inverse relationships with vegetation health indicators throughout the monitoring period. SO</w:t>
      </w:r>
      <w:r w:rsidRPr="002D61EC">
        <w:rPr>
          <w:rFonts w:cs="Times New Roman"/>
        </w:rPr>
        <w:t>₂</w:t>
      </w:r>
      <w:r w:rsidRPr="002D61EC">
        <w:t xml:space="preserve"> concentrations averaged 68.4 </w:t>
      </w:r>
      <w:r w:rsidRPr="002D61EC">
        <w:rPr>
          <w:rFonts w:hint="eastAsia"/>
        </w:rPr>
        <w:t>μ</w:t>
      </w:r>
      <w:r w:rsidRPr="002D61EC">
        <w:t>g/m</w:t>
      </w:r>
      <w:r w:rsidRPr="002D61EC">
        <w:rPr>
          <w:rFonts w:hint="eastAsia"/>
        </w:rPr>
        <w:t>³</w:t>
      </w:r>
      <w:r w:rsidRPr="002D61EC">
        <w:t xml:space="preserve"> near facilities, declining exponentially to background levels of 12.3 </w:t>
      </w:r>
      <w:r w:rsidRPr="002D61EC">
        <w:rPr>
          <w:rFonts w:hint="eastAsia"/>
        </w:rPr>
        <w:t>μ</w:t>
      </w:r>
      <w:r w:rsidRPr="002D61EC">
        <w:t>g/m</w:t>
      </w:r>
      <w:r w:rsidRPr="002D61EC">
        <w:rPr>
          <w:rFonts w:hint="eastAsia"/>
        </w:rPr>
        <w:t>³</w:t>
      </w:r>
      <w:r w:rsidRPr="002D61EC">
        <w:t xml:space="preserve"> beyond 25 km, with chronic exposure causing visible foliar damage and reduced photosynthetic capacity. NO</w:t>
      </w:r>
      <w:r w:rsidRPr="002D61EC">
        <w:rPr>
          <w:rFonts w:cs="Times New Roman"/>
        </w:rPr>
        <w:t>ₓ</w:t>
      </w:r>
      <w:r w:rsidRPr="002D61EC">
        <w:t xml:space="preserve"> levels followed similar spatial patterns but showed greater seasonal variability linked to temperature inversions and atmospheric stability conditions. Particulate matter (PM</w:t>
      </w:r>
      <w:r w:rsidRPr="002D61EC">
        <w:rPr>
          <w:rFonts w:cs="Times New Roman"/>
        </w:rPr>
        <w:t>₁₀</w:t>
      </w:r>
      <w:r w:rsidRPr="002D61EC">
        <w:t xml:space="preserve">) concentrations ranging from 45-156 </w:t>
      </w:r>
      <w:proofErr w:type="spellStart"/>
      <w:r w:rsidRPr="002D61EC">
        <w:t>μg</w:t>
      </w:r>
      <w:proofErr w:type="spellEnd"/>
      <w:r w:rsidRPr="002D61EC">
        <w:t>/m³ created additional stress through stomatal blockage and reduced light availability, with dust deposition rates exceeding 2.3 g/m²/month in the most impacted areas. The cumulative air quality index incorporating multiple pollutants explained 52% of the variance in vegetation condition, highlighting the importance of integrated pollution management for restoration success. Figure 5 illustrates the complex relationships between environmental factors and vegetation restoration outcomes.</w:t>
      </w:r>
    </w:p>
    <w:p w14:paraId="3A9C057E" w14:textId="5D72D9FC" w:rsidR="002D61EC" w:rsidRDefault="002D61EC" w:rsidP="002D61EC">
      <w:r w:rsidRPr="002D61EC">
        <w:rPr>
          <w:noProof/>
        </w:rPr>
        <w:lastRenderedPageBreak/>
        <w:drawing>
          <wp:inline distT="0" distB="0" distL="0" distR="0" wp14:anchorId="4203C8A8" wp14:editId="657C0B6B">
            <wp:extent cx="2444436" cy="2420252"/>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5"/>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2451931" cy="2427673"/>
                    </a:xfrm>
                    <a:prstGeom prst="rect">
                      <a:avLst/>
                    </a:prstGeom>
                    <a:noFill/>
                    <a:ln>
                      <a:noFill/>
                    </a:ln>
                  </pic:spPr>
                </pic:pic>
              </a:graphicData>
            </a:graphic>
          </wp:inline>
        </w:drawing>
      </w:r>
      <w:r w:rsidRPr="002D61EC">
        <w:t xml:space="preserve"> </w:t>
      </w:r>
      <w:r w:rsidRPr="002D61EC">
        <w:rPr>
          <w:noProof/>
        </w:rPr>
        <w:drawing>
          <wp:inline distT="0" distB="0" distL="0" distR="0" wp14:anchorId="522F2D4E" wp14:editId="2593F910">
            <wp:extent cx="2520950" cy="2425262"/>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6"/>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2533098" cy="2436949"/>
                    </a:xfrm>
                    <a:prstGeom prst="rect">
                      <a:avLst/>
                    </a:prstGeom>
                    <a:noFill/>
                    <a:ln>
                      <a:noFill/>
                    </a:ln>
                  </pic:spPr>
                </pic:pic>
              </a:graphicData>
            </a:graphic>
          </wp:inline>
        </w:drawing>
      </w:r>
    </w:p>
    <w:p w14:paraId="72B2580C" w14:textId="7C103F54" w:rsidR="002D61EC" w:rsidRDefault="002D61EC" w:rsidP="002D61EC">
      <w:pPr>
        <w:ind w:firstLineChars="200" w:firstLine="420"/>
      </w:pPr>
      <w:r w:rsidRPr="002D61EC">
        <w:t>(a) Temperature Effects on Restoration</w:t>
      </w:r>
      <w:r>
        <w:t xml:space="preserve"> </w:t>
      </w:r>
      <w:r w:rsidRPr="002D61EC">
        <w:t>(b) Seasonal Precipitation Distribution</w:t>
      </w:r>
    </w:p>
    <w:p w14:paraId="7F098540" w14:textId="659304E5" w:rsidR="002D61EC" w:rsidRDefault="002D61EC" w:rsidP="002D61EC">
      <w:r w:rsidRPr="002D61EC">
        <w:rPr>
          <w:noProof/>
        </w:rPr>
        <w:drawing>
          <wp:inline distT="0" distB="0" distL="0" distR="0" wp14:anchorId="72E66421" wp14:editId="0D5F1CDB">
            <wp:extent cx="2447925" cy="2111383"/>
            <wp:effectExtent l="0" t="0" r="0" b="317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7"/>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2459051" cy="2120979"/>
                    </a:xfrm>
                    <a:prstGeom prst="rect">
                      <a:avLst/>
                    </a:prstGeom>
                    <a:noFill/>
                    <a:ln>
                      <a:noFill/>
                    </a:ln>
                  </pic:spPr>
                </pic:pic>
              </a:graphicData>
            </a:graphic>
          </wp:inline>
        </w:drawing>
      </w:r>
      <w:r w:rsidRPr="002D61EC">
        <w:t xml:space="preserve"> </w:t>
      </w:r>
      <w:r w:rsidRPr="002D61EC">
        <w:rPr>
          <w:noProof/>
        </w:rPr>
        <w:drawing>
          <wp:inline distT="0" distB="0" distL="0" distR="0" wp14:anchorId="382109DF" wp14:editId="622B6ABF">
            <wp:extent cx="2507217" cy="1910420"/>
            <wp:effectExtent l="0" t="0" r="762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8"/>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2509557" cy="1912203"/>
                    </a:xfrm>
                    <a:prstGeom prst="rect">
                      <a:avLst/>
                    </a:prstGeom>
                    <a:noFill/>
                    <a:ln>
                      <a:noFill/>
                    </a:ln>
                  </pic:spPr>
                </pic:pic>
              </a:graphicData>
            </a:graphic>
          </wp:inline>
        </w:drawing>
      </w:r>
    </w:p>
    <w:p w14:paraId="4DAF5894" w14:textId="2812D179" w:rsidR="002D61EC" w:rsidRDefault="002D61EC" w:rsidP="002D61EC">
      <w:pPr>
        <w:ind w:firstLineChars="300" w:firstLine="630"/>
      </w:pPr>
      <w:r w:rsidRPr="002D61EC">
        <w:t>(c) Soil Quality Gradients</w:t>
      </w:r>
      <w:proofErr w:type="gramStart"/>
      <w:r>
        <w:t xml:space="preserve">   </w:t>
      </w:r>
      <w:r w:rsidRPr="002D61EC">
        <w:t>(</w:t>
      </w:r>
      <w:proofErr w:type="gramEnd"/>
      <w:r w:rsidRPr="002D61EC">
        <w:t>d) Spatial Air Quality Distribution</w:t>
      </w:r>
    </w:p>
    <w:p w14:paraId="46493AEF" w14:textId="7C782C1A" w:rsidR="002D61EC" w:rsidRDefault="002D61EC" w:rsidP="002D61EC">
      <w:r w:rsidRPr="002D61EC">
        <w:rPr>
          <w:noProof/>
        </w:rPr>
        <w:drawing>
          <wp:inline distT="0" distB="0" distL="0" distR="0" wp14:anchorId="6BC79393" wp14:editId="4655F474">
            <wp:extent cx="2500492" cy="2145382"/>
            <wp:effectExtent l="0" t="0" r="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9"/>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2507880" cy="2151721"/>
                    </a:xfrm>
                    <a:prstGeom prst="rect">
                      <a:avLst/>
                    </a:prstGeom>
                    <a:noFill/>
                    <a:ln>
                      <a:noFill/>
                    </a:ln>
                  </pic:spPr>
                </pic:pic>
              </a:graphicData>
            </a:graphic>
          </wp:inline>
        </w:drawing>
      </w:r>
      <w:r w:rsidRPr="002D61EC">
        <w:t xml:space="preserve"> </w:t>
      </w:r>
      <w:r w:rsidRPr="002D61EC">
        <w:rPr>
          <w:noProof/>
        </w:rPr>
        <w:drawing>
          <wp:inline distT="0" distB="0" distL="0" distR="0" wp14:anchorId="4E481583" wp14:editId="3803029F">
            <wp:extent cx="1909445" cy="2120287"/>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0"/>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921820" cy="2134028"/>
                    </a:xfrm>
                    <a:prstGeom prst="rect">
                      <a:avLst/>
                    </a:prstGeom>
                    <a:noFill/>
                    <a:ln>
                      <a:noFill/>
                    </a:ln>
                  </pic:spPr>
                </pic:pic>
              </a:graphicData>
            </a:graphic>
          </wp:inline>
        </w:drawing>
      </w:r>
    </w:p>
    <w:p w14:paraId="3C51E10F" w14:textId="20FF6C91" w:rsidR="002D61EC" w:rsidRDefault="002D61EC" w:rsidP="002D61EC">
      <w:pPr>
        <w:ind w:firstLineChars="200" w:firstLine="420"/>
      </w:pPr>
      <w:r w:rsidRPr="002D61EC">
        <w:t>(e) Multi-factor Environmental Interactions</w:t>
      </w:r>
      <w:r>
        <w:t xml:space="preserve"> </w:t>
      </w:r>
      <w:r w:rsidRPr="002D61EC">
        <w:t>(f) Seasonal Environmental Stress Factors</w:t>
      </w:r>
    </w:p>
    <w:p w14:paraId="1B226EC3" w14:textId="7C7053AD" w:rsidR="002D61EC" w:rsidRPr="002D61EC" w:rsidRDefault="002D61EC" w:rsidP="002D61EC">
      <w:pPr>
        <w:jc w:val="center"/>
      </w:pPr>
      <w:r>
        <w:rPr>
          <w:rFonts w:hint="eastAsia"/>
        </w:rPr>
        <w:t>F</w:t>
      </w:r>
      <w:r>
        <w:t>ig.5</w:t>
      </w:r>
      <w:r w:rsidRPr="002D61EC">
        <w:t xml:space="preserve"> Environmental Factors Influencing Vegetation Restoration</w:t>
      </w:r>
    </w:p>
    <w:p w14:paraId="5437CD19" w14:textId="2C189A99" w:rsidR="002D61EC" w:rsidRPr="002D61EC" w:rsidRDefault="002D61EC" w:rsidP="002D61EC">
      <w:r w:rsidRPr="002D61EC">
        <w:rPr>
          <w:b/>
          <w:bCs/>
        </w:rPr>
        <w:t>Figure 5.</w:t>
      </w:r>
      <w:r w:rsidRPr="002D61EC">
        <w:t xml:space="preserve"> Environmental factors influencing vegetation restoration showing (a) non-linear temperature effects with optimal range identification, (b) seasonal precipitation distribution across success categories, (c) soil quality gradients with distance from facilities, (d) spatial air quality distribution influenced by prevailing winds, (e) three-dimensional visualization of multi-factor interactions, and (f) seasonal variation in environmental stress factors</w:t>
      </w:r>
    </w:p>
    <w:p w14:paraId="01139A34" w14:textId="62438AFC" w:rsidR="002D61EC" w:rsidRPr="002D61EC" w:rsidRDefault="002D61EC" w:rsidP="002D61EC">
      <w:r w:rsidRPr="002D61EC">
        <w:lastRenderedPageBreak/>
        <w:t>The integrated analysis of environmental factors revealed complex interactions determining restoration success, with no single factor acting in isolation. Temperature and precipitation showed synergistic effects, where optimal combinations resulted in restoration rates 2.3 times higher than when either factor was limiting. Soil quality improvements typically followed vegetation establishment with a lag period of 18-24 months, suggesting positive feedback mechanisms once initial cover thresholds were achieved. Air quality remained the most persistent limiting factor, requiring regional-scale interventions beyond site-level restoration efforts. Table 8 presents correlation coefficients and significance levels for key environmental factors and vegetation restoration metrics.</w:t>
      </w:r>
    </w:p>
    <w:p w14:paraId="680F643A" w14:textId="77777777" w:rsidR="002D61EC" w:rsidRPr="002D61EC" w:rsidRDefault="002D61EC" w:rsidP="002D61EC">
      <w:pPr>
        <w:jc w:val="center"/>
      </w:pPr>
      <w:r w:rsidRPr="002D61EC">
        <w:rPr>
          <w:b/>
          <w:bCs/>
        </w:rPr>
        <w:t>Table 8.</w:t>
      </w:r>
      <w:r w:rsidRPr="002D61EC">
        <w:t xml:space="preserve"> Correlation matrix of environmental factors with vegetation restoration indicators</w:t>
      </w:r>
    </w:p>
    <w:tbl>
      <w:tblPr>
        <w:tblStyle w:val="11"/>
        <w:tblW w:w="0" w:type="auto"/>
        <w:tblLook w:val="04A0" w:firstRow="1" w:lastRow="0" w:firstColumn="1" w:lastColumn="0" w:noHBand="0" w:noVBand="1"/>
      </w:tblPr>
      <w:tblGrid>
        <w:gridCol w:w="1746"/>
        <w:gridCol w:w="882"/>
        <w:gridCol w:w="1117"/>
        <w:gridCol w:w="929"/>
        <w:gridCol w:w="1130"/>
        <w:gridCol w:w="1122"/>
        <w:gridCol w:w="1380"/>
      </w:tblGrid>
      <w:tr w:rsidR="002D61EC" w:rsidRPr="002D61EC" w14:paraId="7DDB2BEC" w14:textId="77777777" w:rsidTr="002D61EC">
        <w:trPr>
          <w:cnfStyle w:val="100000000000" w:firstRow="1" w:lastRow="0" w:firstColumn="0" w:lastColumn="0" w:oddVBand="0" w:evenVBand="0" w:oddHBand="0" w:evenHBand="0" w:firstRowFirstColumn="0" w:firstRowLastColumn="0" w:lastRowFirstColumn="0" w:lastRowLastColumn="0"/>
        </w:trPr>
        <w:tc>
          <w:tcPr>
            <w:tcW w:w="0" w:type="auto"/>
            <w:hideMark/>
          </w:tcPr>
          <w:p w14:paraId="3184ECC6" w14:textId="77777777" w:rsidR="002D61EC" w:rsidRPr="002D61EC" w:rsidRDefault="002D61EC" w:rsidP="002D61EC">
            <w:pPr>
              <w:jc w:val="center"/>
              <w:rPr>
                <w:b/>
                <w:bCs/>
              </w:rPr>
            </w:pPr>
            <w:r w:rsidRPr="002D61EC">
              <w:rPr>
                <w:b/>
                <w:bCs/>
              </w:rPr>
              <w:t>Environmental Factor</w:t>
            </w:r>
          </w:p>
        </w:tc>
        <w:tc>
          <w:tcPr>
            <w:tcW w:w="0" w:type="auto"/>
            <w:hideMark/>
          </w:tcPr>
          <w:p w14:paraId="537C35DB" w14:textId="77777777" w:rsidR="002D61EC" w:rsidRPr="002D61EC" w:rsidRDefault="002D61EC" w:rsidP="002D61EC">
            <w:pPr>
              <w:jc w:val="center"/>
              <w:rPr>
                <w:b/>
                <w:bCs/>
              </w:rPr>
            </w:pPr>
            <w:r w:rsidRPr="002D61EC">
              <w:rPr>
                <w:b/>
                <w:bCs/>
              </w:rPr>
              <w:t>NDVI</w:t>
            </w:r>
          </w:p>
        </w:tc>
        <w:tc>
          <w:tcPr>
            <w:tcW w:w="0" w:type="auto"/>
            <w:hideMark/>
          </w:tcPr>
          <w:p w14:paraId="5F2AE8CD" w14:textId="77777777" w:rsidR="002D61EC" w:rsidRPr="002D61EC" w:rsidRDefault="002D61EC" w:rsidP="002D61EC">
            <w:pPr>
              <w:jc w:val="center"/>
              <w:rPr>
                <w:b/>
                <w:bCs/>
              </w:rPr>
            </w:pPr>
            <w:r w:rsidRPr="002D61EC">
              <w:rPr>
                <w:b/>
                <w:bCs/>
              </w:rPr>
              <w:t>Coverage (%)</w:t>
            </w:r>
          </w:p>
        </w:tc>
        <w:tc>
          <w:tcPr>
            <w:tcW w:w="0" w:type="auto"/>
            <w:hideMark/>
          </w:tcPr>
          <w:p w14:paraId="0C31DCF0" w14:textId="77777777" w:rsidR="002D61EC" w:rsidRPr="002D61EC" w:rsidRDefault="002D61EC" w:rsidP="002D61EC">
            <w:pPr>
              <w:jc w:val="center"/>
              <w:rPr>
                <w:b/>
                <w:bCs/>
              </w:rPr>
            </w:pPr>
            <w:r w:rsidRPr="002D61EC">
              <w:rPr>
                <w:b/>
                <w:bCs/>
              </w:rPr>
              <w:t>Biomass</w:t>
            </w:r>
          </w:p>
        </w:tc>
        <w:tc>
          <w:tcPr>
            <w:tcW w:w="0" w:type="auto"/>
            <w:hideMark/>
          </w:tcPr>
          <w:p w14:paraId="6FF59C35" w14:textId="77777777" w:rsidR="002D61EC" w:rsidRPr="002D61EC" w:rsidRDefault="002D61EC" w:rsidP="002D61EC">
            <w:pPr>
              <w:jc w:val="center"/>
              <w:rPr>
                <w:b/>
                <w:bCs/>
              </w:rPr>
            </w:pPr>
            <w:r w:rsidRPr="002D61EC">
              <w:rPr>
                <w:b/>
                <w:bCs/>
              </w:rPr>
              <w:t>Species Richness</w:t>
            </w:r>
          </w:p>
        </w:tc>
        <w:tc>
          <w:tcPr>
            <w:tcW w:w="0" w:type="auto"/>
            <w:hideMark/>
          </w:tcPr>
          <w:p w14:paraId="3C767FDC" w14:textId="77777777" w:rsidR="002D61EC" w:rsidRPr="002D61EC" w:rsidRDefault="002D61EC" w:rsidP="002D61EC">
            <w:pPr>
              <w:jc w:val="center"/>
              <w:rPr>
                <w:b/>
                <w:bCs/>
              </w:rPr>
            </w:pPr>
            <w:r w:rsidRPr="002D61EC">
              <w:rPr>
                <w:b/>
                <w:bCs/>
              </w:rPr>
              <w:t>Recovery Rate</w:t>
            </w:r>
          </w:p>
        </w:tc>
        <w:tc>
          <w:tcPr>
            <w:tcW w:w="0" w:type="auto"/>
            <w:hideMark/>
          </w:tcPr>
          <w:p w14:paraId="2913F643" w14:textId="77777777" w:rsidR="002D61EC" w:rsidRPr="002D61EC" w:rsidRDefault="002D61EC" w:rsidP="002D61EC">
            <w:pPr>
              <w:jc w:val="center"/>
              <w:rPr>
                <w:b/>
                <w:bCs/>
              </w:rPr>
            </w:pPr>
            <w:r w:rsidRPr="002D61EC">
              <w:rPr>
                <w:b/>
                <w:bCs/>
              </w:rPr>
              <w:t>Restoration Success</w:t>
            </w:r>
          </w:p>
        </w:tc>
      </w:tr>
      <w:tr w:rsidR="002D61EC" w:rsidRPr="002D61EC" w14:paraId="66D1220D" w14:textId="77777777" w:rsidTr="002D61EC">
        <w:tc>
          <w:tcPr>
            <w:tcW w:w="0" w:type="auto"/>
            <w:hideMark/>
          </w:tcPr>
          <w:p w14:paraId="5C30F6CB" w14:textId="77777777" w:rsidR="002D61EC" w:rsidRPr="002D61EC" w:rsidRDefault="002D61EC" w:rsidP="002D61EC">
            <w:pPr>
              <w:jc w:val="center"/>
            </w:pPr>
            <w:r w:rsidRPr="002D61EC">
              <w:t>Temperature (optimal range)</w:t>
            </w:r>
          </w:p>
        </w:tc>
        <w:tc>
          <w:tcPr>
            <w:tcW w:w="0" w:type="auto"/>
            <w:hideMark/>
          </w:tcPr>
          <w:p w14:paraId="5D789F8A" w14:textId="77777777" w:rsidR="002D61EC" w:rsidRPr="002D61EC" w:rsidRDefault="002D61EC" w:rsidP="002D61EC">
            <w:pPr>
              <w:jc w:val="center"/>
            </w:pPr>
            <w:r w:rsidRPr="002D61EC">
              <w:t>0.68***</w:t>
            </w:r>
          </w:p>
        </w:tc>
        <w:tc>
          <w:tcPr>
            <w:tcW w:w="0" w:type="auto"/>
            <w:hideMark/>
          </w:tcPr>
          <w:p w14:paraId="778D4A25" w14:textId="77777777" w:rsidR="002D61EC" w:rsidRPr="002D61EC" w:rsidRDefault="002D61EC" w:rsidP="002D61EC">
            <w:pPr>
              <w:jc w:val="center"/>
            </w:pPr>
            <w:r w:rsidRPr="002D61EC">
              <w:t>0.62***</w:t>
            </w:r>
          </w:p>
        </w:tc>
        <w:tc>
          <w:tcPr>
            <w:tcW w:w="0" w:type="auto"/>
            <w:hideMark/>
          </w:tcPr>
          <w:p w14:paraId="0262658E" w14:textId="77777777" w:rsidR="002D61EC" w:rsidRPr="002D61EC" w:rsidRDefault="002D61EC" w:rsidP="002D61EC">
            <w:pPr>
              <w:jc w:val="center"/>
            </w:pPr>
            <w:r w:rsidRPr="002D61EC">
              <w:t>0.71***</w:t>
            </w:r>
          </w:p>
        </w:tc>
        <w:tc>
          <w:tcPr>
            <w:tcW w:w="0" w:type="auto"/>
            <w:hideMark/>
          </w:tcPr>
          <w:p w14:paraId="13DEB2A9" w14:textId="77777777" w:rsidR="002D61EC" w:rsidRPr="002D61EC" w:rsidRDefault="002D61EC" w:rsidP="002D61EC">
            <w:pPr>
              <w:jc w:val="center"/>
            </w:pPr>
            <w:r w:rsidRPr="002D61EC">
              <w:t>0.54**</w:t>
            </w:r>
          </w:p>
        </w:tc>
        <w:tc>
          <w:tcPr>
            <w:tcW w:w="0" w:type="auto"/>
            <w:hideMark/>
          </w:tcPr>
          <w:p w14:paraId="6178A81B" w14:textId="77777777" w:rsidR="002D61EC" w:rsidRPr="002D61EC" w:rsidRDefault="002D61EC" w:rsidP="002D61EC">
            <w:pPr>
              <w:jc w:val="center"/>
            </w:pPr>
            <w:r w:rsidRPr="002D61EC">
              <w:t>0.73***</w:t>
            </w:r>
          </w:p>
        </w:tc>
        <w:tc>
          <w:tcPr>
            <w:tcW w:w="0" w:type="auto"/>
            <w:hideMark/>
          </w:tcPr>
          <w:p w14:paraId="6CD5F2D1" w14:textId="77777777" w:rsidR="002D61EC" w:rsidRPr="002D61EC" w:rsidRDefault="002D61EC" w:rsidP="002D61EC">
            <w:pPr>
              <w:jc w:val="center"/>
            </w:pPr>
            <w:r w:rsidRPr="002D61EC">
              <w:t>0.69***</w:t>
            </w:r>
          </w:p>
        </w:tc>
      </w:tr>
      <w:tr w:rsidR="002D61EC" w:rsidRPr="002D61EC" w14:paraId="5A3D3F81" w14:textId="77777777" w:rsidTr="002D61EC">
        <w:tc>
          <w:tcPr>
            <w:tcW w:w="0" w:type="auto"/>
            <w:hideMark/>
          </w:tcPr>
          <w:p w14:paraId="00143CBF" w14:textId="77777777" w:rsidR="002D61EC" w:rsidRPr="002D61EC" w:rsidRDefault="002D61EC" w:rsidP="002D61EC">
            <w:pPr>
              <w:jc w:val="center"/>
            </w:pPr>
            <w:r w:rsidRPr="002D61EC">
              <w:t>Annual Precipitation</w:t>
            </w:r>
          </w:p>
        </w:tc>
        <w:tc>
          <w:tcPr>
            <w:tcW w:w="0" w:type="auto"/>
            <w:hideMark/>
          </w:tcPr>
          <w:p w14:paraId="236B0DB5" w14:textId="77777777" w:rsidR="002D61EC" w:rsidRPr="002D61EC" w:rsidRDefault="002D61EC" w:rsidP="002D61EC">
            <w:pPr>
              <w:jc w:val="center"/>
            </w:pPr>
            <w:r w:rsidRPr="002D61EC">
              <w:t>0.52**</w:t>
            </w:r>
          </w:p>
        </w:tc>
        <w:tc>
          <w:tcPr>
            <w:tcW w:w="0" w:type="auto"/>
            <w:hideMark/>
          </w:tcPr>
          <w:p w14:paraId="5CF99393" w14:textId="77777777" w:rsidR="002D61EC" w:rsidRPr="002D61EC" w:rsidRDefault="002D61EC" w:rsidP="002D61EC">
            <w:pPr>
              <w:jc w:val="center"/>
            </w:pPr>
            <w:r w:rsidRPr="002D61EC">
              <w:t>0.48**</w:t>
            </w:r>
          </w:p>
        </w:tc>
        <w:tc>
          <w:tcPr>
            <w:tcW w:w="0" w:type="auto"/>
            <w:hideMark/>
          </w:tcPr>
          <w:p w14:paraId="6D9F4611" w14:textId="77777777" w:rsidR="002D61EC" w:rsidRPr="002D61EC" w:rsidRDefault="002D61EC" w:rsidP="002D61EC">
            <w:pPr>
              <w:jc w:val="center"/>
            </w:pPr>
            <w:r w:rsidRPr="002D61EC">
              <w:t>0.56***</w:t>
            </w:r>
          </w:p>
        </w:tc>
        <w:tc>
          <w:tcPr>
            <w:tcW w:w="0" w:type="auto"/>
            <w:hideMark/>
          </w:tcPr>
          <w:p w14:paraId="124FE7F3" w14:textId="77777777" w:rsidR="002D61EC" w:rsidRPr="002D61EC" w:rsidRDefault="002D61EC" w:rsidP="002D61EC">
            <w:pPr>
              <w:jc w:val="center"/>
            </w:pPr>
            <w:r w:rsidRPr="002D61EC">
              <w:t>0.61***</w:t>
            </w:r>
          </w:p>
        </w:tc>
        <w:tc>
          <w:tcPr>
            <w:tcW w:w="0" w:type="auto"/>
            <w:hideMark/>
          </w:tcPr>
          <w:p w14:paraId="1E820CCD" w14:textId="77777777" w:rsidR="002D61EC" w:rsidRPr="002D61EC" w:rsidRDefault="002D61EC" w:rsidP="002D61EC">
            <w:pPr>
              <w:jc w:val="center"/>
            </w:pPr>
            <w:r w:rsidRPr="002D61EC">
              <w:t>0.45**</w:t>
            </w:r>
          </w:p>
        </w:tc>
        <w:tc>
          <w:tcPr>
            <w:tcW w:w="0" w:type="auto"/>
            <w:hideMark/>
          </w:tcPr>
          <w:p w14:paraId="7E31DECC" w14:textId="77777777" w:rsidR="002D61EC" w:rsidRPr="002D61EC" w:rsidRDefault="002D61EC" w:rsidP="002D61EC">
            <w:pPr>
              <w:jc w:val="center"/>
            </w:pPr>
            <w:r w:rsidRPr="002D61EC">
              <w:t>0.53**</w:t>
            </w:r>
          </w:p>
        </w:tc>
      </w:tr>
      <w:tr w:rsidR="002D61EC" w:rsidRPr="002D61EC" w14:paraId="18910E11" w14:textId="77777777" w:rsidTr="002D61EC">
        <w:tc>
          <w:tcPr>
            <w:tcW w:w="0" w:type="auto"/>
            <w:hideMark/>
          </w:tcPr>
          <w:p w14:paraId="7ABA1A64" w14:textId="77777777" w:rsidR="002D61EC" w:rsidRPr="002D61EC" w:rsidRDefault="002D61EC" w:rsidP="002D61EC">
            <w:pPr>
              <w:jc w:val="center"/>
            </w:pPr>
            <w:r w:rsidRPr="002D61EC">
              <w:t xml:space="preserve">Growing Season </w:t>
            </w:r>
            <w:proofErr w:type="spellStart"/>
            <w:r w:rsidRPr="002D61EC">
              <w:t>Precip</w:t>
            </w:r>
            <w:proofErr w:type="spellEnd"/>
            <w:r w:rsidRPr="002D61EC">
              <w:t>.</w:t>
            </w:r>
          </w:p>
        </w:tc>
        <w:tc>
          <w:tcPr>
            <w:tcW w:w="0" w:type="auto"/>
            <w:hideMark/>
          </w:tcPr>
          <w:p w14:paraId="5093690F" w14:textId="77777777" w:rsidR="002D61EC" w:rsidRPr="002D61EC" w:rsidRDefault="002D61EC" w:rsidP="002D61EC">
            <w:pPr>
              <w:jc w:val="center"/>
            </w:pPr>
            <w:r w:rsidRPr="002D61EC">
              <w:t>0.74***</w:t>
            </w:r>
          </w:p>
        </w:tc>
        <w:tc>
          <w:tcPr>
            <w:tcW w:w="0" w:type="auto"/>
            <w:hideMark/>
          </w:tcPr>
          <w:p w14:paraId="423252AB" w14:textId="77777777" w:rsidR="002D61EC" w:rsidRPr="002D61EC" w:rsidRDefault="002D61EC" w:rsidP="002D61EC">
            <w:pPr>
              <w:jc w:val="center"/>
            </w:pPr>
            <w:r w:rsidRPr="002D61EC">
              <w:t>0.69***</w:t>
            </w:r>
          </w:p>
        </w:tc>
        <w:tc>
          <w:tcPr>
            <w:tcW w:w="0" w:type="auto"/>
            <w:hideMark/>
          </w:tcPr>
          <w:p w14:paraId="1F9A4B61" w14:textId="77777777" w:rsidR="002D61EC" w:rsidRPr="002D61EC" w:rsidRDefault="002D61EC" w:rsidP="002D61EC">
            <w:pPr>
              <w:jc w:val="center"/>
            </w:pPr>
            <w:r w:rsidRPr="002D61EC">
              <w:t>0.78***</w:t>
            </w:r>
          </w:p>
        </w:tc>
        <w:tc>
          <w:tcPr>
            <w:tcW w:w="0" w:type="auto"/>
            <w:hideMark/>
          </w:tcPr>
          <w:p w14:paraId="7D4A993B" w14:textId="77777777" w:rsidR="002D61EC" w:rsidRPr="002D61EC" w:rsidRDefault="002D61EC" w:rsidP="002D61EC">
            <w:pPr>
              <w:jc w:val="center"/>
            </w:pPr>
            <w:r w:rsidRPr="002D61EC">
              <w:t>0.72***</w:t>
            </w:r>
          </w:p>
        </w:tc>
        <w:tc>
          <w:tcPr>
            <w:tcW w:w="0" w:type="auto"/>
            <w:hideMark/>
          </w:tcPr>
          <w:p w14:paraId="31E57A33" w14:textId="77777777" w:rsidR="002D61EC" w:rsidRPr="002D61EC" w:rsidRDefault="002D61EC" w:rsidP="002D61EC">
            <w:pPr>
              <w:jc w:val="center"/>
            </w:pPr>
            <w:r w:rsidRPr="002D61EC">
              <w:t>0.68***</w:t>
            </w:r>
          </w:p>
        </w:tc>
        <w:tc>
          <w:tcPr>
            <w:tcW w:w="0" w:type="auto"/>
            <w:hideMark/>
          </w:tcPr>
          <w:p w14:paraId="4B8DC37A" w14:textId="77777777" w:rsidR="002D61EC" w:rsidRPr="002D61EC" w:rsidRDefault="002D61EC" w:rsidP="002D61EC">
            <w:pPr>
              <w:jc w:val="center"/>
            </w:pPr>
            <w:r w:rsidRPr="002D61EC">
              <w:t>0.75***</w:t>
            </w:r>
          </w:p>
        </w:tc>
      </w:tr>
      <w:tr w:rsidR="002D61EC" w:rsidRPr="002D61EC" w14:paraId="5D8A2135" w14:textId="77777777" w:rsidTr="002D61EC">
        <w:tc>
          <w:tcPr>
            <w:tcW w:w="0" w:type="auto"/>
            <w:hideMark/>
          </w:tcPr>
          <w:p w14:paraId="0FD5677D" w14:textId="77777777" w:rsidR="002D61EC" w:rsidRPr="002D61EC" w:rsidRDefault="002D61EC" w:rsidP="002D61EC">
            <w:pPr>
              <w:jc w:val="center"/>
            </w:pPr>
            <w:r w:rsidRPr="002D61EC">
              <w:t>Soil pH (deviation)</w:t>
            </w:r>
          </w:p>
        </w:tc>
        <w:tc>
          <w:tcPr>
            <w:tcW w:w="0" w:type="auto"/>
            <w:hideMark/>
          </w:tcPr>
          <w:p w14:paraId="08EFDA90" w14:textId="77777777" w:rsidR="002D61EC" w:rsidRPr="002D61EC" w:rsidRDefault="002D61EC" w:rsidP="002D61EC">
            <w:pPr>
              <w:jc w:val="center"/>
            </w:pPr>
            <w:r w:rsidRPr="002D61EC">
              <w:t>-0.58***</w:t>
            </w:r>
          </w:p>
        </w:tc>
        <w:tc>
          <w:tcPr>
            <w:tcW w:w="0" w:type="auto"/>
            <w:hideMark/>
          </w:tcPr>
          <w:p w14:paraId="74A089F8" w14:textId="77777777" w:rsidR="002D61EC" w:rsidRPr="002D61EC" w:rsidRDefault="002D61EC" w:rsidP="002D61EC">
            <w:pPr>
              <w:jc w:val="center"/>
            </w:pPr>
            <w:r w:rsidRPr="002D61EC">
              <w:t>-0.54**</w:t>
            </w:r>
          </w:p>
        </w:tc>
        <w:tc>
          <w:tcPr>
            <w:tcW w:w="0" w:type="auto"/>
            <w:hideMark/>
          </w:tcPr>
          <w:p w14:paraId="4DD9F01F" w14:textId="77777777" w:rsidR="002D61EC" w:rsidRPr="002D61EC" w:rsidRDefault="002D61EC" w:rsidP="002D61EC">
            <w:pPr>
              <w:jc w:val="center"/>
            </w:pPr>
            <w:r w:rsidRPr="002D61EC">
              <w:t>-0.62***</w:t>
            </w:r>
          </w:p>
        </w:tc>
        <w:tc>
          <w:tcPr>
            <w:tcW w:w="0" w:type="auto"/>
            <w:hideMark/>
          </w:tcPr>
          <w:p w14:paraId="3CDDA702" w14:textId="77777777" w:rsidR="002D61EC" w:rsidRPr="002D61EC" w:rsidRDefault="002D61EC" w:rsidP="002D61EC">
            <w:pPr>
              <w:jc w:val="center"/>
            </w:pPr>
            <w:r w:rsidRPr="002D61EC">
              <w:t>-0.48**</w:t>
            </w:r>
          </w:p>
        </w:tc>
        <w:tc>
          <w:tcPr>
            <w:tcW w:w="0" w:type="auto"/>
            <w:hideMark/>
          </w:tcPr>
          <w:p w14:paraId="1E5CD816" w14:textId="77777777" w:rsidR="002D61EC" w:rsidRPr="002D61EC" w:rsidRDefault="002D61EC" w:rsidP="002D61EC">
            <w:pPr>
              <w:jc w:val="center"/>
            </w:pPr>
            <w:r w:rsidRPr="002D61EC">
              <w:t>-0.51**</w:t>
            </w:r>
          </w:p>
        </w:tc>
        <w:tc>
          <w:tcPr>
            <w:tcW w:w="0" w:type="auto"/>
            <w:hideMark/>
          </w:tcPr>
          <w:p w14:paraId="6ADA8E18" w14:textId="77777777" w:rsidR="002D61EC" w:rsidRPr="002D61EC" w:rsidRDefault="002D61EC" w:rsidP="002D61EC">
            <w:pPr>
              <w:jc w:val="center"/>
            </w:pPr>
            <w:r w:rsidRPr="002D61EC">
              <w:t>-0.56***</w:t>
            </w:r>
          </w:p>
        </w:tc>
      </w:tr>
      <w:tr w:rsidR="002D61EC" w:rsidRPr="002D61EC" w14:paraId="532D2F80" w14:textId="77777777" w:rsidTr="002D61EC">
        <w:tc>
          <w:tcPr>
            <w:tcW w:w="0" w:type="auto"/>
            <w:hideMark/>
          </w:tcPr>
          <w:p w14:paraId="1728DD13" w14:textId="77777777" w:rsidR="002D61EC" w:rsidRPr="002D61EC" w:rsidRDefault="002D61EC" w:rsidP="002D61EC">
            <w:pPr>
              <w:jc w:val="center"/>
            </w:pPr>
            <w:r w:rsidRPr="002D61EC">
              <w:t>Organic Matter</w:t>
            </w:r>
          </w:p>
        </w:tc>
        <w:tc>
          <w:tcPr>
            <w:tcW w:w="0" w:type="auto"/>
            <w:hideMark/>
          </w:tcPr>
          <w:p w14:paraId="15B5EE2F" w14:textId="77777777" w:rsidR="002D61EC" w:rsidRPr="002D61EC" w:rsidRDefault="002D61EC" w:rsidP="002D61EC">
            <w:pPr>
              <w:jc w:val="center"/>
            </w:pPr>
            <w:r w:rsidRPr="002D61EC">
              <w:t>0.82***</w:t>
            </w:r>
          </w:p>
        </w:tc>
        <w:tc>
          <w:tcPr>
            <w:tcW w:w="0" w:type="auto"/>
            <w:hideMark/>
          </w:tcPr>
          <w:p w14:paraId="7F7F311A" w14:textId="77777777" w:rsidR="002D61EC" w:rsidRPr="002D61EC" w:rsidRDefault="002D61EC" w:rsidP="002D61EC">
            <w:pPr>
              <w:jc w:val="center"/>
            </w:pPr>
            <w:r w:rsidRPr="002D61EC">
              <w:t>0.78***</w:t>
            </w:r>
          </w:p>
        </w:tc>
        <w:tc>
          <w:tcPr>
            <w:tcW w:w="0" w:type="auto"/>
            <w:hideMark/>
          </w:tcPr>
          <w:p w14:paraId="4D8B9CD8" w14:textId="77777777" w:rsidR="002D61EC" w:rsidRPr="002D61EC" w:rsidRDefault="002D61EC" w:rsidP="002D61EC">
            <w:pPr>
              <w:jc w:val="center"/>
            </w:pPr>
            <w:r w:rsidRPr="002D61EC">
              <w:t>0.85***</w:t>
            </w:r>
          </w:p>
        </w:tc>
        <w:tc>
          <w:tcPr>
            <w:tcW w:w="0" w:type="auto"/>
            <w:hideMark/>
          </w:tcPr>
          <w:p w14:paraId="000CE19D" w14:textId="77777777" w:rsidR="002D61EC" w:rsidRPr="002D61EC" w:rsidRDefault="002D61EC" w:rsidP="002D61EC">
            <w:pPr>
              <w:jc w:val="center"/>
            </w:pPr>
            <w:r w:rsidRPr="002D61EC">
              <w:t>0.76***</w:t>
            </w:r>
          </w:p>
        </w:tc>
        <w:tc>
          <w:tcPr>
            <w:tcW w:w="0" w:type="auto"/>
            <w:hideMark/>
          </w:tcPr>
          <w:p w14:paraId="09380108" w14:textId="77777777" w:rsidR="002D61EC" w:rsidRPr="002D61EC" w:rsidRDefault="002D61EC" w:rsidP="002D61EC">
            <w:pPr>
              <w:jc w:val="center"/>
            </w:pPr>
            <w:r w:rsidRPr="002D61EC">
              <w:t>0.79***</w:t>
            </w:r>
          </w:p>
        </w:tc>
        <w:tc>
          <w:tcPr>
            <w:tcW w:w="0" w:type="auto"/>
            <w:hideMark/>
          </w:tcPr>
          <w:p w14:paraId="448C3DD7" w14:textId="77777777" w:rsidR="002D61EC" w:rsidRPr="002D61EC" w:rsidRDefault="002D61EC" w:rsidP="002D61EC">
            <w:pPr>
              <w:jc w:val="center"/>
            </w:pPr>
            <w:r w:rsidRPr="002D61EC">
              <w:t>0.83***</w:t>
            </w:r>
          </w:p>
        </w:tc>
      </w:tr>
      <w:tr w:rsidR="002D61EC" w:rsidRPr="002D61EC" w14:paraId="60F7804A" w14:textId="77777777" w:rsidTr="002D61EC">
        <w:tc>
          <w:tcPr>
            <w:tcW w:w="0" w:type="auto"/>
            <w:hideMark/>
          </w:tcPr>
          <w:p w14:paraId="07841353" w14:textId="77777777" w:rsidR="002D61EC" w:rsidRPr="002D61EC" w:rsidRDefault="002D61EC" w:rsidP="002D61EC">
            <w:pPr>
              <w:jc w:val="center"/>
            </w:pPr>
            <w:r w:rsidRPr="002D61EC">
              <w:t>Heavy Metals</w:t>
            </w:r>
          </w:p>
        </w:tc>
        <w:tc>
          <w:tcPr>
            <w:tcW w:w="0" w:type="auto"/>
            <w:hideMark/>
          </w:tcPr>
          <w:p w14:paraId="70E6181D" w14:textId="77777777" w:rsidR="002D61EC" w:rsidRPr="002D61EC" w:rsidRDefault="002D61EC" w:rsidP="002D61EC">
            <w:pPr>
              <w:jc w:val="center"/>
            </w:pPr>
            <w:r w:rsidRPr="002D61EC">
              <w:t>-0.71***</w:t>
            </w:r>
          </w:p>
        </w:tc>
        <w:tc>
          <w:tcPr>
            <w:tcW w:w="0" w:type="auto"/>
            <w:hideMark/>
          </w:tcPr>
          <w:p w14:paraId="4637FCE2" w14:textId="77777777" w:rsidR="002D61EC" w:rsidRPr="002D61EC" w:rsidRDefault="002D61EC" w:rsidP="002D61EC">
            <w:pPr>
              <w:jc w:val="center"/>
            </w:pPr>
            <w:r w:rsidRPr="002D61EC">
              <w:t>-0.68***</w:t>
            </w:r>
          </w:p>
        </w:tc>
        <w:tc>
          <w:tcPr>
            <w:tcW w:w="0" w:type="auto"/>
            <w:hideMark/>
          </w:tcPr>
          <w:p w14:paraId="6CED36C0" w14:textId="77777777" w:rsidR="002D61EC" w:rsidRPr="002D61EC" w:rsidRDefault="002D61EC" w:rsidP="002D61EC">
            <w:pPr>
              <w:jc w:val="center"/>
            </w:pPr>
            <w:r w:rsidRPr="002D61EC">
              <w:t>-0.74***</w:t>
            </w:r>
          </w:p>
        </w:tc>
        <w:tc>
          <w:tcPr>
            <w:tcW w:w="0" w:type="auto"/>
            <w:hideMark/>
          </w:tcPr>
          <w:p w14:paraId="635A5CFB" w14:textId="77777777" w:rsidR="002D61EC" w:rsidRPr="002D61EC" w:rsidRDefault="002D61EC" w:rsidP="002D61EC">
            <w:pPr>
              <w:jc w:val="center"/>
            </w:pPr>
            <w:r w:rsidRPr="002D61EC">
              <w:t>-0.65***</w:t>
            </w:r>
          </w:p>
        </w:tc>
        <w:tc>
          <w:tcPr>
            <w:tcW w:w="0" w:type="auto"/>
            <w:hideMark/>
          </w:tcPr>
          <w:p w14:paraId="1CAE057E" w14:textId="77777777" w:rsidR="002D61EC" w:rsidRPr="002D61EC" w:rsidRDefault="002D61EC" w:rsidP="002D61EC">
            <w:pPr>
              <w:jc w:val="center"/>
            </w:pPr>
            <w:r w:rsidRPr="002D61EC">
              <w:t>-0.69***</w:t>
            </w:r>
          </w:p>
        </w:tc>
        <w:tc>
          <w:tcPr>
            <w:tcW w:w="0" w:type="auto"/>
            <w:hideMark/>
          </w:tcPr>
          <w:p w14:paraId="5B15735C" w14:textId="77777777" w:rsidR="002D61EC" w:rsidRPr="002D61EC" w:rsidRDefault="002D61EC" w:rsidP="002D61EC">
            <w:pPr>
              <w:jc w:val="center"/>
            </w:pPr>
            <w:r w:rsidRPr="002D61EC">
              <w:t>-0.72***</w:t>
            </w:r>
          </w:p>
        </w:tc>
      </w:tr>
      <w:tr w:rsidR="002D61EC" w:rsidRPr="002D61EC" w14:paraId="34480920" w14:textId="77777777" w:rsidTr="002D61EC">
        <w:tc>
          <w:tcPr>
            <w:tcW w:w="0" w:type="auto"/>
            <w:hideMark/>
          </w:tcPr>
          <w:p w14:paraId="120177FE" w14:textId="77777777" w:rsidR="002D61EC" w:rsidRPr="002D61EC" w:rsidRDefault="002D61EC" w:rsidP="002D61EC">
            <w:pPr>
              <w:jc w:val="center"/>
            </w:pPr>
            <w:r w:rsidRPr="002D61EC">
              <w:t>SO₂ Concentration</w:t>
            </w:r>
          </w:p>
        </w:tc>
        <w:tc>
          <w:tcPr>
            <w:tcW w:w="0" w:type="auto"/>
            <w:hideMark/>
          </w:tcPr>
          <w:p w14:paraId="5D650E55" w14:textId="77777777" w:rsidR="002D61EC" w:rsidRPr="002D61EC" w:rsidRDefault="002D61EC" w:rsidP="002D61EC">
            <w:pPr>
              <w:jc w:val="center"/>
            </w:pPr>
            <w:r w:rsidRPr="002D61EC">
              <w:t>-0.76***</w:t>
            </w:r>
          </w:p>
        </w:tc>
        <w:tc>
          <w:tcPr>
            <w:tcW w:w="0" w:type="auto"/>
            <w:hideMark/>
          </w:tcPr>
          <w:p w14:paraId="08E3C287" w14:textId="77777777" w:rsidR="002D61EC" w:rsidRPr="002D61EC" w:rsidRDefault="002D61EC" w:rsidP="002D61EC">
            <w:pPr>
              <w:jc w:val="center"/>
            </w:pPr>
            <w:r w:rsidRPr="002D61EC">
              <w:t>-0.72***</w:t>
            </w:r>
          </w:p>
        </w:tc>
        <w:tc>
          <w:tcPr>
            <w:tcW w:w="0" w:type="auto"/>
            <w:hideMark/>
          </w:tcPr>
          <w:p w14:paraId="24AA5AE2" w14:textId="77777777" w:rsidR="002D61EC" w:rsidRPr="002D61EC" w:rsidRDefault="002D61EC" w:rsidP="002D61EC">
            <w:pPr>
              <w:jc w:val="center"/>
            </w:pPr>
            <w:r w:rsidRPr="002D61EC">
              <w:t>-0.78***</w:t>
            </w:r>
          </w:p>
        </w:tc>
        <w:tc>
          <w:tcPr>
            <w:tcW w:w="0" w:type="auto"/>
            <w:hideMark/>
          </w:tcPr>
          <w:p w14:paraId="366D5F87" w14:textId="77777777" w:rsidR="002D61EC" w:rsidRPr="002D61EC" w:rsidRDefault="002D61EC" w:rsidP="002D61EC">
            <w:pPr>
              <w:jc w:val="center"/>
            </w:pPr>
            <w:r w:rsidRPr="002D61EC">
              <w:t>-0.69***</w:t>
            </w:r>
          </w:p>
        </w:tc>
        <w:tc>
          <w:tcPr>
            <w:tcW w:w="0" w:type="auto"/>
            <w:hideMark/>
          </w:tcPr>
          <w:p w14:paraId="1CF68634" w14:textId="77777777" w:rsidR="002D61EC" w:rsidRPr="002D61EC" w:rsidRDefault="002D61EC" w:rsidP="002D61EC">
            <w:pPr>
              <w:jc w:val="center"/>
            </w:pPr>
            <w:r w:rsidRPr="002D61EC">
              <w:t>-0.74***</w:t>
            </w:r>
          </w:p>
        </w:tc>
        <w:tc>
          <w:tcPr>
            <w:tcW w:w="0" w:type="auto"/>
            <w:hideMark/>
          </w:tcPr>
          <w:p w14:paraId="3887294C" w14:textId="77777777" w:rsidR="002D61EC" w:rsidRPr="002D61EC" w:rsidRDefault="002D61EC" w:rsidP="002D61EC">
            <w:pPr>
              <w:jc w:val="center"/>
            </w:pPr>
            <w:r w:rsidRPr="002D61EC">
              <w:t>-0.77***</w:t>
            </w:r>
          </w:p>
        </w:tc>
      </w:tr>
      <w:tr w:rsidR="002D61EC" w:rsidRPr="002D61EC" w14:paraId="760EBDD1" w14:textId="77777777" w:rsidTr="002D61EC">
        <w:tc>
          <w:tcPr>
            <w:tcW w:w="0" w:type="auto"/>
            <w:hideMark/>
          </w:tcPr>
          <w:p w14:paraId="4A92D329" w14:textId="77777777" w:rsidR="002D61EC" w:rsidRPr="002D61EC" w:rsidRDefault="002D61EC" w:rsidP="002D61EC">
            <w:pPr>
              <w:jc w:val="center"/>
            </w:pPr>
            <w:r w:rsidRPr="002D61EC">
              <w:t>NOₓ Concentration</w:t>
            </w:r>
          </w:p>
        </w:tc>
        <w:tc>
          <w:tcPr>
            <w:tcW w:w="0" w:type="auto"/>
            <w:hideMark/>
          </w:tcPr>
          <w:p w14:paraId="7DBBB11F" w14:textId="77777777" w:rsidR="002D61EC" w:rsidRPr="002D61EC" w:rsidRDefault="002D61EC" w:rsidP="002D61EC">
            <w:pPr>
              <w:jc w:val="center"/>
            </w:pPr>
            <w:r w:rsidRPr="002D61EC">
              <w:t>-0.68***</w:t>
            </w:r>
          </w:p>
        </w:tc>
        <w:tc>
          <w:tcPr>
            <w:tcW w:w="0" w:type="auto"/>
            <w:hideMark/>
          </w:tcPr>
          <w:p w14:paraId="2486DB50" w14:textId="77777777" w:rsidR="002D61EC" w:rsidRPr="002D61EC" w:rsidRDefault="002D61EC" w:rsidP="002D61EC">
            <w:pPr>
              <w:jc w:val="center"/>
            </w:pPr>
            <w:r w:rsidRPr="002D61EC">
              <w:t>-0.64***</w:t>
            </w:r>
          </w:p>
        </w:tc>
        <w:tc>
          <w:tcPr>
            <w:tcW w:w="0" w:type="auto"/>
            <w:hideMark/>
          </w:tcPr>
          <w:p w14:paraId="64985903" w14:textId="77777777" w:rsidR="002D61EC" w:rsidRPr="002D61EC" w:rsidRDefault="002D61EC" w:rsidP="002D61EC">
            <w:pPr>
              <w:jc w:val="center"/>
            </w:pPr>
            <w:r w:rsidRPr="002D61EC">
              <w:t>-0.71***</w:t>
            </w:r>
          </w:p>
        </w:tc>
        <w:tc>
          <w:tcPr>
            <w:tcW w:w="0" w:type="auto"/>
            <w:hideMark/>
          </w:tcPr>
          <w:p w14:paraId="439BB6D5" w14:textId="77777777" w:rsidR="002D61EC" w:rsidRPr="002D61EC" w:rsidRDefault="002D61EC" w:rsidP="002D61EC">
            <w:pPr>
              <w:jc w:val="center"/>
            </w:pPr>
            <w:r w:rsidRPr="002D61EC">
              <w:t>-0.62***</w:t>
            </w:r>
          </w:p>
        </w:tc>
        <w:tc>
          <w:tcPr>
            <w:tcW w:w="0" w:type="auto"/>
            <w:hideMark/>
          </w:tcPr>
          <w:p w14:paraId="47C1F50D" w14:textId="77777777" w:rsidR="002D61EC" w:rsidRPr="002D61EC" w:rsidRDefault="002D61EC" w:rsidP="002D61EC">
            <w:pPr>
              <w:jc w:val="center"/>
            </w:pPr>
            <w:r w:rsidRPr="002D61EC">
              <w:t>-0.66***</w:t>
            </w:r>
          </w:p>
        </w:tc>
        <w:tc>
          <w:tcPr>
            <w:tcW w:w="0" w:type="auto"/>
            <w:hideMark/>
          </w:tcPr>
          <w:p w14:paraId="76E2CE3C" w14:textId="77777777" w:rsidR="002D61EC" w:rsidRPr="002D61EC" w:rsidRDefault="002D61EC" w:rsidP="002D61EC">
            <w:pPr>
              <w:jc w:val="center"/>
            </w:pPr>
            <w:r w:rsidRPr="002D61EC">
              <w:t>-0.69***</w:t>
            </w:r>
          </w:p>
        </w:tc>
      </w:tr>
      <w:tr w:rsidR="002D61EC" w:rsidRPr="002D61EC" w14:paraId="7EFBB136" w14:textId="77777777" w:rsidTr="002D61EC">
        <w:tc>
          <w:tcPr>
            <w:tcW w:w="0" w:type="auto"/>
            <w:hideMark/>
          </w:tcPr>
          <w:p w14:paraId="2E94FC07" w14:textId="77777777" w:rsidR="002D61EC" w:rsidRPr="002D61EC" w:rsidRDefault="002D61EC" w:rsidP="002D61EC">
            <w:pPr>
              <w:jc w:val="center"/>
            </w:pPr>
            <w:r w:rsidRPr="002D61EC">
              <w:t>PM₁₀ Levels</w:t>
            </w:r>
          </w:p>
        </w:tc>
        <w:tc>
          <w:tcPr>
            <w:tcW w:w="0" w:type="auto"/>
            <w:hideMark/>
          </w:tcPr>
          <w:p w14:paraId="2495712F" w14:textId="77777777" w:rsidR="002D61EC" w:rsidRPr="002D61EC" w:rsidRDefault="002D61EC" w:rsidP="002D61EC">
            <w:pPr>
              <w:jc w:val="center"/>
            </w:pPr>
            <w:r w:rsidRPr="002D61EC">
              <w:t>-0.63***</w:t>
            </w:r>
          </w:p>
        </w:tc>
        <w:tc>
          <w:tcPr>
            <w:tcW w:w="0" w:type="auto"/>
            <w:hideMark/>
          </w:tcPr>
          <w:p w14:paraId="1423ED58" w14:textId="77777777" w:rsidR="002D61EC" w:rsidRPr="002D61EC" w:rsidRDefault="002D61EC" w:rsidP="002D61EC">
            <w:pPr>
              <w:jc w:val="center"/>
            </w:pPr>
            <w:r w:rsidRPr="002D61EC">
              <w:t>-0.59***</w:t>
            </w:r>
          </w:p>
        </w:tc>
        <w:tc>
          <w:tcPr>
            <w:tcW w:w="0" w:type="auto"/>
            <w:hideMark/>
          </w:tcPr>
          <w:p w14:paraId="41551792" w14:textId="77777777" w:rsidR="002D61EC" w:rsidRPr="002D61EC" w:rsidRDefault="002D61EC" w:rsidP="002D61EC">
            <w:pPr>
              <w:jc w:val="center"/>
            </w:pPr>
            <w:r w:rsidRPr="002D61EC">
              <w:t>-0.66***</w:t>
            </w:r>
          </w:p>
        </w:tc>
        <w:tc>
          <w:tcPr>
            <w:tcW w:w="0" w:type="auto"/>
            <w:hideMark/>
          </w:tcPr>
          <w:p w14:paraId="78760444" w14:textId="77777777" w:rsidR="002D61EC" w:rsidRPr="002D61EC" w:rsidRDefault="002D61EC" w:rsidP="002D61EC">
            <w:pPr>
              <w:jc w:val="center"/>
            </w:pPr>
            <w:r w:rsidRPr="002D61EC">
              <w:t>-0.57***</w:t>
            </w:r>
          </w:p>
        </w:tc>
        <w:tc>
          <w:tcPr>
            <w:tcW w:w="0" w:type="auto"/>
            <w:hideMark/>
          </w:tcPr>
          <w:p w14:paraId="628EA8CD" w14:textId="77777777" w:rsidR="002D61EC" w:rsidRPr="002D61EC" w:rsidRDefault="002D61EC" w:rsidP="002D61EC">
            <w:pPr>
              <w:jc w:val="center"/>
            </w:pPr>
            <w:r w:rsidRPr="002D61EC">
              <w:t>-0.61***</w:t>
            </w:r>
          </w:p>
        </w:tc>
        <w:tc>
          <w:tcPr>
            <w:tcW w:w="0" w:type="auto"/>
            <w:hideMark/>
          </w:tcPr>
          <w:p w14:paraId="15EEA34E" w14:textId="77777777" w:rsidR="002D61EC" w:rsidRPr="002D61EC" w:rsidRDefault="002D61EC" w:rsidP="002D61EC">
            <w:pPr>
              <w:jc w:val="center"/>
            </w:pPr>
            <w:r w:rsidRPr="002D61EC">
              <w:t>-0.64***</w:t>
            </w:r>
          </w:p>
        </w:tc>
      </w:tr>
      <w:tr w:rsidR="002D61EC" w:rsidRPr="002D61EC" w14:paraId="63589ADF" w14:textId="77777777" w:rsidTr="002D61EC">
        <w:tc>
          <w:tcPr>
            <w:tcW w:w="0" w:type="auto"/>
            <w:hideMark/>
          </w:tcPr>
          <w:p w14:paraId="18CA6892" w14:textId="77777777" w:rsidR="002D61EC" w:rsidRPr="002D61EC" w:rsidRDefault="002D61EC" w:rsidP="002D61EC">
            <w:pPr>
              <w:jc w:val="center"/>
            </w:pPr>
            <w:r w:rsidRPr="002D61EC">
              <w:t>Integrated AQI</w:t>
            </w:r>
          </w:p>
        </w:tc>
        <w:tc>
          <w:tcPr>
            <w:tcW w:w="0" w:type="auto"/>
            <w:hideMark/>
          </w:tcPr>
          <w:p w14:paraId="281A5792" w14:textId="77777777" w:rsidR="002D61EC" w:rsidRPr="002D61EC" w:rsidRDefault="002D61EC" w:rsidP="002D61EC">
            <w:pPr>
              <w:jc w:val="center"/>
            </w:pPr>
            <w:r w:rsidRPr="002D61EC">
              <w:t>-0.81***</w:t>
            </w:r>
          </w:p>
        </w:tc>
        <w:tc>
          <w:tcPr>
            <w:tcW w:w="0" w:type="auto"/>
            <w:hideMark/>
          </w:tcPr>
          <w:p w14:paraId="159E4E2A" w14:textId="77777777" w:rsidR="002D61EC" w:rsidRPr="002D61EC" w:rsidRDefault="002D61EC" w:rsidP="002D61EC">
            <w:pPr>
              <w:jc w:val="center"/>
            </w:pPr>
            <w:r w:rsidRPr="002D61EC">
              <w:t>-0.77***</w:t>
            </w:r>
          </w:p>
        </w:tc>
        <w:tc>
          <w:tcPr>
            <w:tcW w:w="0" w:type="auto"/>
            <w:hideMark/>
          </w:tcPr>
          <w:p w14:paraId="752957BA" w14:textId="77777777" w:rsidR="002D61EC" w:rsidRPr="002D61EC" w:rsidRDefault="002D61EC" w:rsidP="002D61EC">
            <w:pPr>
              <w:jc w:val="center"/>
            </w:pPr>
            <w:r w:rsidRPr="002D61EC">
              <w:t>-0.84***</w:t>
            </w:r>
          </w:p>
        </w:tc>
        <w:tc>
          <w:tcPr>
            <w:tcW w:w="0" w:type="auto"/>
            <w:hideMark/>
          </w:tcPr>
          <w:p w14:paraId="4E177CCC" w14:textId="77777777" w:rsidR="002D61EC" w:rsidRPr="002D61EC" w:rsidRDefault="002D61EC" w:rsidP="002D61EC">
            <w:pPr>
              <w:jc w:val="center"/>
            </w:pPr>
            <w:r w:rsidRPr="002D61EC">
              <w:t>-0.75***</w:t>
            </w:r>
          </w:p>
        </w:tc>
        <w:tc>
          <w:tcPr>
            <w:tcW w:w="0" w:type="auto"/>
            <w:hideMark/>
          </w:tcPr>
          <w:p w14:paraId="761B6C42" w14:textId="77777777" w:rsidR="002D61EC" w:rsidRPr="002D61EC" w:rsidRDefault="002D61EC" w:rsidP="002D61EC">
            <w:pPr>
              <w:jc w:val="center"/>
            </w:pPr>
            <w:r w:rsidRPr="002D61EC">
              <w:t>-0.79***</w:t>
            </w:r>
          </w:p>
        </w:tc>
        <w:tc>
          <w:tcPr>
            <w:tcW w:w="0" w:type="auto"/>
            <w:hideMark/>
          </w:tcPr>
          <w:p w14:paraId="15150B21" w14:textId="77777777" w:rsidR="002D61EC" w:rsidRPr="002D61EC" w:rsidRDefault="002D61EC" w:rsidP="002D61EC">
            <w:pPr>
              <w:jc w:val="center"/>
            </w:pPr>
            <w:r w:rsidRPr="002D61EC">
              <w:t>-0.82***</w:t>
            </w:r>
          </w:p>
        </w:tc>
      </w:tr>
    </w:tbl>
    <w:p w14:paraId="2C6D974E" w14:textId="77777777" w:rsidR="002D61EC" w:rsidRPr="002D61EC" w:rsidRDefault="002D61EC" w:rsidP="002D61EC">
      <w:r w:rsidRPr="002D61EC">
        <w:t>The correlation analysis highlighted the paramount importance of air quality and soil organic matter as primary determinants of restoration success, with integrated air quality index and organic matter content showing the strongest associations with all vegetation metrics. These findings emphasize the need for comprehensive environmental management strategies that address multiple stressors simultaneously to achieve sustainable vegetation restoration around industrial facilities.</w:t>
      </w:r>
    </w:p>
    <w:p w14:paraId="5734F7FF" w14:textId="31AF995D" w:rsidR="00FC4262" w:rsidRDefault="00FC4262" w:rsidP="00FC4262">
      <w:pPr>
        <w:pStyle w:val="3"/>
      </w:pPr>
      <w:bookmarkStart w:id="5" w:name="OLE_LINK11"/>
      <w:r w:rsidRPr="00FC4262">
        <w:t>3.6 Validation Results</w:t>
      </w:r>
    </w:p>
    <w:p w14:paraId="5A11988B" w14:textId="77777777" w:rsidR="00190319" w:rsidRPr="00190319" w:rsidRDefault="00190319" w:rsidP="00190319">
      <w:r w:rsidRPr="00190319">
        <w:t xml:space="preserve">Ground truth validation using 486 field survey plots distributed across the study area revealed strong agreement between remote sensing estimates and field measurements, with overall accuracy reaching 87.3% for vegetation classification and mean absolute error of 8.2% for vegetation coverage estimates. The validation dataset encompassed all seasons and distance zones, providing comprehensive assessment of model performance under varying environmental conditions. Systematic comparison showed that remote sensing slightly overestimated vegetation coverage in </w:t>
      </w:r>
      <w:r w:rsidRPr="00190319">
        <w:lastRenderedPageBreak/>
        <w:t>sparse areas (bias +5.4%) while underestimating dense forest coverage (bias -3.2%), attributable to mixed pixel effects and canopy shadow influences. Temporal validation using repeated measurements at 108 permanent plots demonstrated consistent performance across years, with accuracy improving from 84.1% in 2019 to 89.2% in 2023 as vegetation patches became more homogeneous through restoration progress.</w:t>
      </w:r>
    </w:p>
    <w:p w14:paraId="701600A2" w14:textId="77777777" w:rsidR="00190319" w:rsidRPr="00190319" w:rsidRDefault="00190319" w:rsidP="00190319">
      <w:r w:rsidRPr="00190319">
        <w:t>Error matrix analysis revealed distinct patterns of classification accuracy across vegetation types and seasons, with highest reliability for stable land cover classes and greatest uncertainty in transitional vegetation categories. Dense forest and bare soil classes achieved producer's accuracies exceeding 91%, while shrubland and sparse forest showed higher confusion rates due to spectral overlap and structural similarities. Seasonal variations in classification accuracy ranged from 82.4% in winter to 90.6% in summer, reflecting phenological influences on spectral separability. Commission errors were most pronounced in agricultural areas (16.8%) due to crop rotation and harvest cycles, while omission errors peaked in mixed forest-shrubland boundaries (19.3%). The Kappa coefficient of 0.85 indicated substantial agreement beyond chance, supporting the reliability of vegetation mapping for restoration monitoring purposes.</w:t>
      </w:r>
    </w:p>
    <w:p w14:paraId="17233586" w14:textId="77777777" w:rsidR="00190319" w:rsidRPr="00190319" w:rsidRDefault="00190319" w:rsidP="00190319">
      <w:r w:rsidRPr="00190319">
        <w:t>Uncertainty assessment through Monte Carlo simulation and error propagation analysis quantified confidence intervals for key restoration metrics. Vegetation coverage estimates showed standard errors ranging from ±2.8% in homogeneous grasslands to ±7.6% in heterogeneous forest-shrubland mosaics. NDVI measurements exhibited temporal uncertainty of ±0.03 units, primarily driven by atmospheric variability and sensor calibration drift. Spatial uncertainty analysis revealed higher confidence in areas with dense ground truth sampling (error &lt;5%) compared to remote locations with sparse validation data (error up to 12%). The combined uncertainty for restoration success classification was 9.4%, with greatest confidence in extreme categories (high success or failure) and higher uncertainty in moderate success zones where vegetation responses were more variable. Figure 6 presents comprehensive validation results across multiple assessment dimensions.</w:t>
      </w:r>
    </w:p>
    <w:p w14:paraId="7929E230" w14:textId="129BF201" w:rsidR="00190319" w:rsidRDefault="00FC48BE" w:rsidP="00190319">
      <w:r w:rsidRPr="00FC48BE">
        <w:rPr>
          <w:noProof/>
        </w:rPr>
        <w:drawing>
          <wp:inline distT="0" distB="0" distL="0" distR="0" wp14:anchorId="7CF17BBE" wp14:editId="0E0F6849">
            <wp:extent cx="2304107" cy="1857498"/>
            <wp:effectExtent l="0" t="0" r="127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1"/>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311321" cy="1863314"/>
                    </a:xfrm>
                    <a:prstGeom prst="rect">
                      <a:avLst/>
                    </a:prstGeom>
                    <a:noFill/>
                    <a:ln>
                      <a:noFill/>
                    </a:ln>
                  </pic:spPr>
                </pic:pic>
              </a:graphicData>
            </a:graphic>
          </wp:inline>
        </w:drawing>
      </w:r>
      <w:r w:rsidRPr="00FC48BE">
        <w:t xml:space="preserve"> </w:t>
      </w:r>
      <w:r w:rsidRPr="00FC48BE">
        <w:rPr>
          <w:noProof/>
        </w:rPr>
        <w:drawing>
          <wp:inline distT="0" distB="0" distL="0" distR="0" wp14:anchorId="3E9EC750" wp14:editId="0929A8F7">
            <wp:extent cx="1729211" cy="1901586"/>
            <wp:effectExtent l="0" t="0" r="4445" b="381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2"/>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740309" cy="1913791"/>
                    </a:xfrm>
                    <a:prstGeom prst="rect">
                      <a:avLst/>
                    </a:prstGeom>
                    <a:noFill/>
                    <a:ln>
                      <a:noFill/>
                    </a:ln>
                  </pic:spPr>
                </pic:pic>
              </a:graphicData>
            </a:graphic>
          </wp:inline>
        </w:drawing>
      </w:r>
    </w:p>
    <w:p w14:paraId="08583CA6" w14:textId="2990C58D" w:rsidR="00190319" w:rsidRDefault="00190319" w:rsidP="00FC48BE">
      <w:pPr>
        <w:ind w:firstLineChars="200" w:firstLine="420"/>
      </w:pPr>
      <w:r w:rsidRPr="00190319">
        <w:t xml:space="preserve">(a) Remote Sensing vs Ground </w:t>
      </w:r>
      <w:proofErr w:type="gramStart"/>
      <w:r w:rsidRPr="00190319">
        <w:t>Truth</w:t>
      </w:r>
      <w:r>
        <w:t xml:space="preserve">  </w:t>
      </w:r>
      <w:r w:rsidRPr="00190319">
        <w:t>(</w:t>
      </w:r>
      <w:proofErr w:type="gramEnd"/>
      <w:r w:rsidRPr="00190319">
        <w:t>b) Error Distribution by Vegetation Type</w:t>
      </w:r>
    </w:p>
    <w:p w14:paraId="03D40F33" w14:textId="438AB6FF" w:rsidR="00190319" w:rsidRDefault="00FC48BE" w:rsidP="00190319">
      <w:r w:rsidRPr="00FC48BE">
        <w:rPr>
          <w:noProof/>
        </w:rPr>
        <w:lastRenderedPageBreak/>
        <w:drawing>
          <wp:inline distT="0" distB="0" distL="0" distR="0" wp14:anchorId="7F55EF4E" wp14:editId="63157AA1">
            <wp:extent cx="2493645" cy="2179002"/>
            <wp:effectExtent l="0" t="0" r="190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3"/>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2504530" cy="2188513"/>
                    </a:xfrm>
                    <a:prstGeom prst="rect">
                      <a:avLst/>
                    </a:prstGeom>
                    <a:noFill/>
                    <a:ln>
                      <a:noFill/>
                    </a:ln>
                  </pic:spPr>
                </pic:pic>
              </a:graphicData>
            </a:graphic>
          </wp:inline>
        </w:drawing>
      </w:r>
      <w:r w:rsidRPr="00FC48BE">
        <w:t xml:space="preserve"> </w:t>
      </w:r>
      <w:r w:rsidRPr="00FC48BE">
        <w:rPr>
          <w:noProof/>
        </w:rPr>
        <w:drawing>
          <wp:inline distT="0" distB="0" distL="0" distR="0" wp14:anchorId="59FBD6B5" wp14:editId="47EC4753">
            <wp:extent cx="2267453" cy="2205317"/>
            <wp:effectExtent l="0" t="0" r="0" b="508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4"/>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2280388" cy="2217897"/>
                    </a:xfrm>
                    <a:prstGeom prst="rect">
                      <a:avLst/>
                    </a:prstGeom>
                    <a:noFill/>
                    <a:ln>
                      <a:noFill/>
                    </a:ln>
                  </pic:spPr>
                </pic:pic>
              </a:graphicData>
            </a:graphic>
          </wp:inline>
        </w:drawing>
      </w:r>
    </w:p>
    <w:p w14:paraId="37D759C0" w14:textId="7812E52C" w:rsidR="00190319" w:rsidRDefault="00190319" w:rsidP="00FC48BE">
      <w:pPr>
        <w:ind w:firstLineChars="200" w:firstLine="420"/>
      </w:pPr>
      <w:r w:rsidRPr="00190319">
        <w:t>(c) Seasonal Validation Metrics</w:t>
      </w:r>
      <w:proofErr w:type="gramStart"/>
      <w:r>
        <w:t xml:space="preserve">   </w:t>
      </w:r>
      <w:r w:rsidRPr="00190319">
        <w:t>(</w:t>
      </w:r>
      <w:proofErr w:type="gramEnd"/>
      <w:r w:rsidRPr="00190319">
        <w:t>d) Classification Confusion Matrix</w:t>
      </w:r>
    </w:p>
    <w:p w14:paraId="7C2A8881" w14:textId="4F2EA588" w:rsidR="00190319" w:rsidRDefault="00FC48BE" w:rsidP="00190319">
      <w:r w:rsidRPr="00FC48BE">
        <w:rPr>
          <w:rFonts w:hint="eastAsia"/>
          <w:noProof/>
        </w:rPr>
        <w:drawing>
          <wp:inline distT="0" distB="0" distL="0" distR="0" wp14:anchorId="774B9412" wp14:editId="011A7864">
            <wp:extent cx="2625505" cy="2043633"/>
            <wp:effectExtent l="0" t="0" r="381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5"/>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2638235" cy="2053542"/>
                    </a:xfrm>
                    <a:prstGeom prst="rect">
                      <a:avLst/>
                    </a:prstGeom>
                    <a:noFill/>
                    <a:ln>
                      <a:noFill/>
                    </a:ln>
                  </pic:spPr>
                </pic:pic>
              </a:graphicData>
            </a:graphic>
          </wp:inline>
        </w:drawing>
      </w:r>
      <w:r w:rsidRPr="00FC48BE">
        <w:rPr>
          <w:rFonts w:hint="eastAsia"/>
        </w:rPr>
        <w:t xml:space="preserve"> </w:t>
      </w:r>
      <w:r w:rsidRPr="00FC48BE">
        <w:rPr>
          <w:rFonts w:hint="eastAsia"/>
          <w:noProof/>
        </w:rPr>
        <w:drawing>
          <wp:inline distT="0" distB="0" distL="0" distR="0" wp14:anchorId="037A0018" wp14:editId="7C1DFC13">
            <wp:extent cx="2254313" cy="2285354"/>
            <wp:effectExtent l="0" t="0" r="0" b="127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6"/>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259623" cy="2290737"/>
                    </a:xfrm>
                    <a:prstGeom prst="rect">
                      <a:avLst/>
                    </a:prstGeom>
                    <a:noFill/>
                    <a:ln>
                      <a:noFill/>
                    </a:ln>
                  </pic:spPr>
                </pic:pic>
              </a:graphicData>
            </a:graphic>
          </wp:inline>
        </w:drawing>
      </w:r>
    </w:p>
    <w:p w14:paraId="6410463B" w14:textId="35A0FF1A" w:rsidR="00190319" w:rsidRDefault="00190319" w:rsidP="00FC48BE">
      <w:pPr>
        <w:ind w:firstLineChars="200" w:firstLine="420"/>
      </w:pPr>
      <w:r w:rsidRPr="00190319">
        <w:t xml:space="preserve">(e) Spatial Distribution of </w:t>
      </w:r>
      <w:proofErr w:type="gramStart"/>
      <w:r w:rsidRPr="00190319">
        <w:t>Uncertainty</w:t>
      </w:r>
      <w:r>
        <w:t xml:space="preserve">  </w:t>
      </w:r>
      <w:r w:rsidRPr="00190319">
        <w:t>(</w:t>
      </w:r>
      <w:proofErr w:type="gramEnd"/>
      <w:r w:rsidRPr="00190319">
        <w:t>f) Temporal Trends in Validation Metrics</w:t>
      </w:r>
    </w:p>
    <w:p w14:paraId="62C1A640" w14:textId="47473CFF" w:rsidR="00190319" w:rsidRDefault="00190319" w:rsidP="00190319">
      <w:pPr>
        <w:jc w:val="center"/>
      </w:pPr>
      <w:r>
        <w:rPr>
          <w:rFonts w:hint="eastAsia"/>
        </w:rPr>
        <w:t>F</w:t>
      </w:r>
      <w:r>
        <w:t>ig.6</w:t>
      </w:r>
      <w:r w:rsidRPr="00190319">
        <w:t xml:space="preserve"> Comprehensive Validation Results for Vegetation Restoration Monitoring</w:t>
      </w:r>
    </w:p>
    <w:p w14:paraId="30B55412" w14:textId="4A0E5C10" w:rsidR="00190319" w:rsidRPr="00190319" w:rsidRDefault="00190319" w:rsidP="00190319">
      <w:r w:rsidRPr="00190319">
        <w:rPr>
          <w:b/>
          <w:bCs/>
        </w:rPr>
        <w:t>Figure 6</w:t>
      </w:r>
      <w:r w:rsidRPr="00190319">
        <w:t xml:space="preserve"> Comprehensive validation results showing (a) scatter plot comparison of remote sensing predictions versus ground truth measurements, (b) error distribution across vegetation types, (c) seasonal variation in accuracy metrics, (d) classification confusion matrix heatmap, (e) spatial distribution of estimation uncertainty, and (f) temporal trends in validation metrics over the monitoring period</w:t>
      </w:r>
    </w:p>
    <w:p w14:paraId="55462BA0" w14:textId="651BDE3E" w:rsidR="00190319" w:rsidRPr="00190319" w:rsidRDefault="00190319" w:rsidP="00190319">
      <w:r w:rsidRPr="00190319">
        <w:t>Validation results confirmed the robustness of the multi-temporal remote sensing approach for monitoring vegetation restoration, with accuracy levels sufficient for operational decision-making and adaptive management. The systematic nature of errors, particularly the predictable biases in different vegetation types, enables post-processing corrections to improve estimate reliability. Table 9 summarizes validation statistics across different spatial and temporal dimensions of the monitoring program.</w:t>
      </w:r>
    </w:p>
    <w:p w14:paraId="000483AD" w14:textId="77777777" w:rsidR="00190319" w:rsidRPr="00190319" w:rsidRDefault="00190319" w:rsidP="00190319">
      <w:pPr>
        <w:jc w:val="center"/>
      </w:pPr>
      <w:r w:rsidRPr="00190319">
        <w:rPr>
          <w:b/>
          <w:bCs/>
        </w:rPr>
        <w:t>Table 9.</w:t>
      </w:r>
      <w:r w:rsidRPr="00190319">
        <w:t xml:space="preserve"> Summary of validation metrics by monitoring zone and season</w:t>
      </w:r>
    </w:p>
    <w:tbl>
      <w:tblPr>
        <w:tblStyle w:val="11"/>
        <w:tblW w:w="0" w:type="auto"/>
        <w:tblLook w:val="04A0" w:firstRow="1" w:lastRow="0" w:firstColumn="1" w:lastColumn="0" w:noHBand="0" w:noVBand="1"/>
      </w:tblPr>
      <w:tblGrid>
        <w:gridCol w:w="1683"/>
        <w:gridCol w:w="1116"/>
        <w:gridCol w:w="1756"/>
        <w:gridCol w:w="1054"/>
        <w:gridCol w:w="842"/>
        <w:gridCol w:w="1060"/>
        <w:gridCol w:w="795"/>
      </w:tblGrid>
      <w:tr w:rsidR="00190319" w:rsidRPr="00190319" w14:paraId="1D890060" w14:textId="77777777" w:rsidTr="00190319">
        <w:trPr>
          <w:cnfStyle w:val="100000000000" w:firstRow="1" w:lastRow="0" w:firstColumn="0" w:lastColumn="0" w:oddVBand="0" w:evenVBand="0" w:oddHBand="0" w:evenHBand="0" w:firstRowFirstColumn="0" w:firstRowLastColumn="0" w:lastRowFirstColumn="0" w:lastRowLastColumn="0"/>
        </w:trPr>
        <w:tc>
          <w:tcPr>
            <w:tcW w:w="0" w:type="auto"/>
            <w:hideMark/>
          </w:tcPr>
          <w:p w14:paraId="483C4290" w14:textId="77777777" w:rsidR="00190319" w:rsidRPr="00190319" w:rsidRDefault="00190319" w:rsidP="00190319">
            <w:pPr>
              <w:jc w:val="center"/>
              <w:rPr>
                <w:b/>
                <w:bCs/>
              </w:rPr>
            </w:pPr>
            <w:r w:rsidRPr="00190319">
              <w:rPr>
                <w:b/>
                <w:bCs/>
              </w:rPr>
              <w:t>Validation Category</w:t>
            </w:r>
          </w:p>
        </w:tc>
        <w:tc>
          <w:tcPr>
            <w:tcW w:w="0" w:type="auto"/>
            <w:hideMark/>
          </w:tcPr>
          <w:p w14:paraId="4AD2696D" w14:textId="77777777" w:rsidR="00190319" w:rsidRPr="00190319" w:rsidRDefault="00190319" w:rsidP="00190319">
            <w:pPr>
              <w:jc w:val="center"/>
              <w:rPr>
                <w:b/>
                <w:bCs/>
              </w:rPr>
            </w:pPr>
            <w:r w:rsidRPr="00190319">
              <w:rPr>
                <w:b/>
                <w:bCs/>
              </w:rPr>
              <w:t>Sample Size</w:t>
            </w:r>
          </w:p>
        </w:tc>
        <w:tc>
          <w:tcPr>
            <w:tcW w:w="0" w:type="auto"/>
            <w:hideMark/>
          </w:tcPr>
          <w:p w14:paraId="05235D82" w14:textId="77777777" w:rsidR="00190319" w:rsidRPr="00190319" w:rsidRDefault="00190319" w:rsidP="00190319">
            <w:pPr>
              <w:jc w:val="center"/>
              <w:rPr>
                <w:b/>
                <w:bCs/>
              </w:rPr>
            </w:pPr>
            <w:r w:rsidRPr="00190319">
              <w:rPr>
                <w:b/>
                <w:bCs/>
              </w:rPr>
              <w:t>Overall Accuracy (%)</w:t>
            </w:r>
          </w:p>
        </w:tc>
        <w:tc>
          <w:tcPr>
            <w:tcW w:w="0" w:type="auto"/>
            <w:hideMark/>
          </w:tcPr>
          <w:p w14:paraId="38C6EEB6" w14:textId="77777777" w:rsidR="00190319" w:rsidRPr="00190319" w:rsidRDefault="00190319" w:rsidP="00190319">
            <w:pPr>
              <w:jc w:val="center"/>
              <w:rPr>
                <w:b/>
                <w:bCs/>
              </w:rPr>
            </w:pPr>
            <w:r w:rsidRPr="00190319">
              <w:rPr>
                <w:b/>
                <w:bCs/>
              </w:rPr>
              <w:t>RMSE (%)</w:t>
            </w:r>
          </w:p>
        </w:tc>
        <w:tc>
          <w:tcPr>
            <w:tcW w:w="0" w:type="auto"/>
            <w:hideMark/>
          </w:tcPr>
          <w:p w14:paraId="42C09595" w14:textId="77777777" w:rsidR="00190319" w:rsidRPr="00190319" w:rsidRDefault="00190319" w:rsidP="00190319">
            <w:pPr>
              <w:jc w:val="center"/>
              <w:rPr>
                <w:b/>
                <w:bCs/>
              </w:rPr>
            </w:pPr>
            <w:r w:rsidRPr="00190319">
              <w:rPr>
                <w:b/>
                <w:bCs/>
              </w:rPr>
              <w:t>Bias (%)</w:t>
            </w:r>
          </w:p>
        </w:tc>
        <w:tc>
          <w:tcPr>
            <w:tcW w:w="0" w:type="auto"/>
            <w:hideMark/>
          </w:tcPr>
          <w:p w14:paraId="71374A52" w14:textId="77777777" w:rsidR="00190319" w:rsidRPr="00190319" w:rsidRDefault="00190319" w:rsidP="00190319">
            <w:pPr>
              <w:jc w:val="center"/>
              <w:rPr>
                <w:b/>
                <w:bCs/>
              </w:rPr>
            </w:pPr>
            <w:r w:rsidRPr="00190319">
              <w:rPr>
                <w:b/>
                <w:bCs/>
              </w:rPr>
              <w:t>95% CI (%)</w:t>
            </w:r>
          </w:p>
        </w:tc>
        <w:tc>
          <w:tcPr>
            <w:tcW w:w="0" w:type="auto"/>
            <w:hideMark/>
          </w:tcPr>
          <w:p w14:paraId="712B19C8" w14:textId="77777777" w:rsidR="00190319" w:rsidRPr="00190319" w:rsidRDefault="00190319" w:rsidP="00190319">
            <w:pPr>
              <w:jc w:val="center"/>
              <w:rPr>
                <w:b/>
                <w:bCs/>
              </w:rPr>
            </w:pPr>
            <w:r w:rsidRPr="00190319">
              <w:rPr>
                <w:b/>
                <w:bCs/>
              </w:rPr>
              <w:t>Kappa</w:t>
            </w:r>
          </w:p>
        </w:tc>
      </w:tr>
      <w:tr w:rsidR="00190319" w:rsidRPr="00190319" w14:paraId="44283519" w14:textId="77777777" w:rsidTr="00190319">
        <w:tc>
          <w:tcPr>
            <w:tcW w:w="0" w:type="auto"/>
            <w:hideMark/>
          </w:tcPr>
          <w:p w14:paraId="2BE019F3" w14:textId="77777777" w:rsidR="00190319" w:rsidRPr="00190319" w:rsidRDefault="00190319" w:rsidP="00190319">
            <w:pPr>
              <w:jc w:val="center"/>
            </w:pPr>
            <w:r w:rsidRPr="00190319">
              <w:rPr>
                <w:b/>
                <w:bCs/>
              </w:rPr>
              <w:t>Spatial Zones</w:t>
            </w:r>
          </w:p>
        </w:tc>
        <w:tc>
          <w:tcPr>
            <w:tcW w:w="0" w:type="auto"/>
            <w:hideMark/>
          </w:tcPr>
          <w:p w14:paraId="4F504629" w14:textId="77777777" w:rsidR="00190319" w:rsidRPr="00190319" w:rsidRDefault="00190319" w:rsidP="00190319">
            <w:pPr>
              <w:jc w:val="center"/>
            </w:pPr>
          </w:p>
        </w:tc>
        <w:tc>
          <w:tcPr>
            <w:tcW w:w="0" w:type="auto"/>
            <w:hideMark/>
          </w:tcPr>
          <w:p w14:paraId="55A0664A" w14:textId="77777777" w:rsidR="00190319" w:rsidRPr="00190319" w:rsidRDefault="00190319" w:rsidP="00190319">
            <w:pPr>
              <w:jc w:val="center"/>
              <w:rPr>
                <w:rFonts w:eastAsia="Times New Roman"/>
              </w:rPr>
            </w:pPr>
          </w:p>
        </w:tc>
        <w:tc>
          <w:tcPr>
            <w:tcW w:w="0" w:type="auto"/>
            <w:hideMark/>
          </w:tcPr>
          <w:p w14:paraId="05810518" w14:textId="77777777" w:rsidR="00190319" w:rsidRPr="00190319" w:rsidRDefault="00190319" w:rsidP="00190319">
            <w:pPr>
              <w:jc w:val="center"/>
              <w:rPr>
                <w:rFonts w:eastAsia="Times New Roman"/>
              </w:rPr>
            </w:pPr>
          </w:p>
        </w:tc>
        <w:tc>
          <w:tcPr>
            <w:tcW w:w="0" w:type="auto"/>
            <w:hideMark/>
          </w:tcPr>
          <w:p w14:paraId="41AD25E3" w14:textId="77777777" w:rsidR="00190319" w:rsidRPr="00190319" w:rsidRDefault="00190319" w:rsidP="00190319">
            <w:pPr>
              <w:jc w:val="center"/>
              <w:rPr>
                <w:rFonts w:eastAsia="Times New Roman"/>
              </w:rPr>
            </w:pPr>
          </w:p>
        </w:tc>
        <w:tc>
          <w:tcPr>
            <w:tcW w:w="0" w:type="auto"/>
            <w:hideMark/>
          </w:tcPr>
          <w:p w14:paraId="2A9349D6" w14:textId="77777777" w:rsidR="00190319" w:rsidRPr="00190319" w:rsidRDefault="00190319" w:rsidP="00190319">
            <w:pPr>
              <w:jc w:val="center"/>
              <w:rPr>
                <w:rFonts w:eastAsia="Times New Roman"/>
              </w:rPr>
            </w:pPr>
          </w:p>
        </w:tc>
        <w:tc>
          <w:tcPr>
            <w:tcW w:w="0" w:type="auto"/>
            <w:hideMark/>
          </w:tcPr>
          <w:p w14:paraId="6F845E72" w14:textId="77777777" w:rsidR="00190319" w:rsidRPr="00190319" w:rsidRDefault="00190319" w:rsidP="00190319">
            <w:pPr>
              <w:jc w:val="center"/>
              <w:rPr>
                <w:rFonts w:eastAsia="Times New Roman"/>
              </w:rPr>
            </w:pPr>
          </w:p>
        </w:tc>
      </w:tr>
      <w:tr w:rsidR="00190319" w:rsidRPr="00190319" w14:paraId="52017A61" w14:textId="77777777" w:rsidTr="00190319">
        <w:tc>
          <w:tcPr>
            <w:tcW w:w="0" w:type="auto"/>
            <w:hideMark/>
          </w:tcPr>
          <w:p w14:paraId="5589D952" w14:textId="77777777" w:rsidR="00190319" w:rsidRPr="00190319" w:rsidRDefault="00190319" w:rsidP="00190319">
            <w:pPr>
              <w:jc w:val="center"/>
            </w:pPr>
            <w:r w:rsidRPr="00190319">
              <w:t>Near (0-10 km)</w:t>
            </w:r>
          </w:p>
        </w:tc>
        <w:tc>
          <w:tcPr>
            <w:tcW w:w="0" w:type="auto"/>
            <w:hideMark/>
          </w:tcPr>
          <w:p w14:paraId="24630571" w14:textId="77777777" w:rsidR="00190319" w:rsidRPr="00190319" w:rsidRDefault="00190319" w:rsidP="00190319">
            <w:pPr>
              <w:jc w:val="center"/>
            </w:pPr>
            <w:r w:rsidRPr="00190319">
              <w:t>162</w:t>
            </w:r>
          </w:p>
        </w:tc>
        <w:tc>
          <w:tcPr>
            <w:tcW w:w="0" w:type="auto"/>
            <w:hideMark/>
          </w:tcPr>
          <w:p w14:paraId="05D4940D" w14:textId="77777777" w:rsidR="00190319" w:rsidRPr="00190319" w:rsidRDefault="00190319" w:rsidP="00190319">
            <w:pPr>
              <w:jc w:val="center"/>
            </w:pPr>
            <w:r w:rsidRPr="00190319">
              <w:t>83.5</w:t>
            </w:r>
          </w:p>
        </w:tc>
        <w:tc>
          <w:tcPr>
            <w:tcW w:w="0" w:type="auto"/>
            <w:hideMark/>
          </w:tcPr>
          <w:p w14:paraId="47405B96" w14:textId="77777777" w:rsidR="00190319" w:rsidRPr="00190319" w:rsidRDefault="00190319" w:rsidP="00190319">
            <w:pPr>
              <w:jc w:val="center"/>
            </w:pPr>
            <w:r w:rsidRPr="00190319">
              <w:t>10.2</w:t>
            </w:r>
          </w:p>
        </w:tc>
        <w:tc>
          <w:tcPr>
            <w:tcW w:w="0" w:type="auto"/>
            <w:hideMark/>
          </w:tcPr>
          <w:p w14:paraId="0B06716C" w14:textId="77777777" w:rsidR="00190319" w:rsidRPr="00190319" w:rsidRDefault="00190319" w:rsidP="00190319">
            <w:pPr>
              <w:jc w:val="center"/>
            </w:pPr>
            <w:r w:rsidRPr="00190319">
              <w:t>+2.8</w:t>
            </w:r>
          </w:p>
        </w:tc>
        <w:tc>
          <w:tcPr>
            <w:tcW w:w="0" w:type="auto"/>
            <w:hideMark/>
          </w:tcPr>
          <w:p w14:paraId="1139ED3E" w14:textId="77777777" w:rsidR="00190319" w:rsidRPr="00190319" w:rsidRDefault="00190319" w:rsidP="00190319">
            <w:pPr>
              <w:jc w:val="center"/>
            </w:pPr>
            <w:r w:rsidRPr="00190319">
              <w:t>±9.8</w:t>
            </w:r>
          </w:p>
        </w:tc>
        <w:tc>
          <w:tcPr>
            <w:tcW w:w="0" w:type="auto"/>
            <w:hideMark/>
          </w:tcPr>
          <w:p w14:paraId="764F0F0E" w14:textId="77777777" w:rsidR="00190319" w:rsidRPr="00190319" w:rsidRDefault="00190319" w:rsidP="00190319">
            <w:pPr>
              <w:jc w:val="center"/>
            </w:pPr>
            <w:r w:rsidRPr="00190319">
              <w:t>0.81</w:t>
            </w:r>
          </w:p>
        </w:tc>
      </w:tr>
      <w:tr w:rsidR="00190319" w:rsidRPr="00190319" w14:paraId="4C67A506" w14:textId="77777777" w:rsidTr="00190319">
        <w:tc>
          <w:tcPr>
            <w:tcW w:w="0" w:type="auto"/>
            <w:hideMark/>
          </w:tcPr>
          <w:p w14:paraId="1DC0C377" w14:textId="77777777" w:rsidR="00190319" w:rsidRPr="00190319" w:rsidRDefault="00190319" w:rsidP="00190319">
            <w:pPr>
              <w:jc w:val="center"/>
            </w:pPr>
            <w:r w:rsidRPr="00190319">
              <w:t xml:space="preserve">Middle (10-25 </w:t>
            </w:r>
            <w:r w:rsidRPr="00190319">
              <w:lastRenderedPageBreak/>
              <w:t>km)</w:t>
            </w:r>
          </w:p>
        </w:tc>
        <w:tc>
          <w:tcPr>
            <w:tcW w:w="0" w:type="auto"/>
            <w:hideMark/>
          </w:tcPr>
          <w:p w14:paraId="0717791C" w14:textId="77777777" w:rsidR="00190319" w:rsidRPr="00190319" w:rsidRDefault="00190319" w:rsidP="00190319">
            <w:pPr>
              <w:jc w:val="center"/>
            </w:pPr>
            <w:r w:rsidRPr="00190319">
              <w:lastRenderedPageBreak/>
              <w:t>186</w:t>
            </w:r>
          </w:p>
        </w:tc>
        <w:tc>
          <w:tcPr>
            <w:tcW w:w="0" w:type="auto"/>
            <w:hideMark/>
          </w:tcPr>
          <w:p w14:paraId="2A8DE896" w14:textId="77777777" w:rsidR="00190319" w:rsidRPr="00190319" w:rsidRDefault="00190319" w:rsidP="00190319">
            <w:pPr>
              <w:jc w:val="center"/>
            </w:pPr>
            <w:r w:rsidRPr="00190319">
              <w:t>87.2</w:t>
            </w:r>
          </w:p>
        </w:tc>
        <w:tc>
          <w:tcPr>
            <w:tcW w:w="0" w:type="auto"/>
            <w:hideMark/>
          </w:tcPr>
          <w:p w14:paraId="21208BED" w14:textId="77777777" w:rsidR="00190319" w:rsidRPr="00190319" w:rsidRDefault="00190319" w:rsidP="00190319">
            <w:pPr>
              <w:jc w:val="center"/>
            </w:pPr>
            <w:r w:rsidRPr="00190319">
              <w:t>8.4</w:t>
            </w:r>
          </w:p>
        </w:tc>
        <w:tc>
          <w:tcPr>
            <w:tcW w:w="0" w:type="auto"/>
            <w:hideMark/>
          </w:tcPr>
          <w:p w14:paraId="78A4B6DF" w14:textId="77777777" w:rsidR="00190319" w:rsidRPr="00190319" w:rsidRDefault="00190319" w:rsidP="00190319">
            <w:pPr>
              <w:jc w:val="center"/>
            </w:pPr>
            <w:r w:rsidRPr="00190319">
              <w:t>+1.2</w:t>
            </w:r>
          </w:p>
        </w:tc>
        <w:tc>
          <w:tcPr>
            <w:tcW w:w="0" w:type="auto"/>
            <w:hideMark/>
          </w:tcPr>
          <w:p w14:paraId="6208768E" w14:textId="77777777" w:rsidR="00190319" w:rsidRPr="00190319" w:rsidRDefault="00190319" w:rsidP="00190319">
            <w:pPr>
              <w:jc w:val="center"/>
            </w:pPr>
            <w:r w:rsidRPr="00190319">
              <w:t>±7.6</w:t>
            </w:r>
          </w:p>
        </w:tc>
        <w:tc>
          <w:tcPr>
            <w:tcW w:w="0" w:type="auto"/>
            <w:hideMark/>
          </w:tcPr>
          <w:p w14:paraId="79B91500" w14:textId="77777777" w:rsidR="00190319" w:rsidRPr="00190319" w:rsidRDefault="00190319" w:rsidP="00190319">
            <w:pPr>
              <w:jc w:val="center"/>
            </w:pPr>
            <w:r w:rsidRPr="00190319">
              <w:t>0.85</w:t>
            </w:r>
          </w:p>
        </w:tc>
      </w:tr>
      <w:tr w:rsidR="00190319" w:rsidRPr="00190319" w14:paraId="32F5E768" w14:textId="77777777" w:rsidTr="00190319">
        <w:tc>
          <w:tcPr>
            <w:tcW w:w="0" w:type="auto"/>
            <w:hideMark/>
          </w:tcPr>
          <w:p w14:paraId="3F32B31E" w14:textId="77777777" w:rsidR="00190319" w:rsidRPr="00190319" w:rsidRDefault="00190319" w:rsidP="00190319">
            <w:pPr>
              <w:jc w:val="center"/>
            </w:pPr>
            <w:r w:rsidRPr="00190319">
              <w:t>Far (25-50 km)</w:t>
            </w:r>
          </w:p>
        </w:tc>
        <w:tc>
          <w:tcPr>
            <w:tcW w:w="0" w:type="auto"/>
            <w:hideMark/>
          </w:tcPr>
          <w:p w14:paraId="170E5ADF" w14:textId="77777777" w:rsidR="00190319" w:rsidRPr="00190319" w:rsidRDefault="00190319" w:rsidP="00190319">
            <w:pPr>
              <w:jc w:val="center"/>
            </w:pPr>
            <w:r w:rsidRPr="00190319">
              <w:t>138</w:t>
            </w:r>
          </w:p>
        </w:tc>
        <w:tc>
          <w:tcPr>
            <w:tcW w:w="0" w:type="auto"/>
            <w:hideMark/>
          </w:tcPr>
          <w:p w14:paraId="1CC0CFBE" w14:textId="77777777" w:rsidR="00190319" w:rsidRPr="00190319" w:rsidRDefault="00190319" w:rsidP="00190319">
            <w:pPr>
              <w:jc w:val="center"/>
            </w:pPr>
            <w:r w:rsidRPr="00190319">
              <w:t>91.3</w:t>
            </w:r>
          </w:p>
        </w:tc>
        <w:tc>
          <w:tcPr>
            <w:tcW w:w="0" w:type="auto"/>
            <w:hideMark/>
          </w:tcPr>
          <w:p w14:paraId="2BEE5E60" w14:textId="77777777" w:rsidR="00190319" w:rsidRPr="00190319" w:rsidRDefault="00190319" w:rsidP="00190319">
            <w:pPr>
              <w:jc w:val="center"/>
            </w:pPr>
            <w:r w:rsidRPr="00190319">
              <w:t>6.1</w:t>
            </w:r>
          </w:p>
        </w:tc>
        <w:tc>
          <w:tcPr>
            <w:tcW w:w="0" w:type="auto"/>
            <w:hideMark/>
          </w:tcPr>
          <w:p w14:paraId="72A7651C" w14:textId="77777777" w:rsidR="00190319" w:rsidRPr="00190319" w:rsidRDefault="00190319" w:rsidP="00190319">
            <w:pPr>
              <w:jc w:val="center"/>
            </w:pPr>
            <w:r w:rsidRPr="00190319">
              <w:t>-0.5</w:t>
            </w:r>
          </w:p>
        </w:tc>
        <w:tc>
          <w:tcPr>
            <w:tcW w:w="0" w:type="auto"/>
            <w:hideMark/>
          </w:tcPr>
          <w:p w14:paraId="1ADED404" w14:textId="77777777" w:rsidR="00190319" w:rsidRPr="00190319" w:rsidRDefault="00190319" w:rsidP="00190319">
            <w:pPr>
              <w:jc w:val="center"/>
            </w:pPr>
            <w:r w:rsidRPr="00190319">
              <w:t>±5.2</w:t>
            </w:r>
          </w:p>
        </w:tc>
        <w:tc>
          <w:tcPr>
            <w:tcW w:w="0" w:type="auto"/>
            <w:hideMark/>
          </w:tcPr>
          <w:p w14:paraId="71786635" w14:textId="77777777" w:rsidR="00190319" w:rsidRPr="00190319" w:rsidRDefault="00190319" w:rsidP="00190319">
            <w:pPr>
              <w:jc w:val="center"/>
            </w:pPr>
            <w:r w:rsidRPr="00190319">
              <w:t>0.89</w:t>
            </w:r>
          </w:p>
        </w:tc>
      </w:tr>
      <w:tr w:rsidR="00190319" w:rsidRPr="00190319" w14:paraId="0E9B59C1" w14:textId="77777777" w:rsidTr="00190319">
        <w:tc>
          <w:tcPr>
            <w:tcW w:w="0" w:type="auto"/>
            <w:hideMark/>
          </w:tcPr>
          <w:p w14:paraId="1EBB46D7" w14:textId="77777777" w:rsidR="00190319" w:rsidRPr="00190319" w:rsidRDefault="00190319" w:rsidP="00190319">
            <w:pPr>
              <w:jc w:val="center"/>
            </w:pPr>
            <w:r w:rsidRPr="00190319">
              <w:rPr>
                <w:b/>
                <w:bCs/>
              </w:rPr>
              <w:t>Seasonal</w:t>
            </w:r>
          </w:p>
        </w:tc>
        <w:tc>
          <w:tcPr>
            <w:tcW w:w="0" w:type="auto"/>
            <w:hideMark/>
          </w:tcPr>
          <w:p w14:paraId="11997994" w14:textId="77777777" w:rsidR="00190319" w:rsidRPr="00190319" w:rsidRDefault="00190319" w:rsidP="00190319">
            <w:pPr>
              <w:jc w:val="center"/>
            </w:pPr>
          </w:p>
        </w:tc>
        <w:tc>
          <w:tcPr>
            <w:tcW w:w="0" w:type="auto"/>
            <w:hideMark/>
          </w:tcPr>
          <w:p w14:paraId="47D9E394" w14:textId="77777777" w:rsidR="00190319" w:rsidRPr="00190319" w:rsidRDefault="00190319" w:rsidP="00190319">
            <w:pPr>
              <w:jc w:val="center"/>
              <w:rPr>
                <w:rFonts w:eastAsia="Times New Roman"/>
              </w:rPr>
            </w:pPr>
          </w:p>
        </w:tc>
        <w:tc>
          <w:tcPr>
            <w:tcW w:w="0" w:type="auto"/>
            <w:hideMark/>
          </w:tcPr>
          <w:p w14:paraId="0CFC832E" w14:textId="77777777" w:rsidR="00190319" w:rsidRPr="00190319" w:rsidRDefault="00190319" w:rsidP="00190319">
            <w:pPr>
              <w:jc w:val="center"/>
              <w:rPr>
                <w:rFonts w:eastAsia="Times New Roman"/>
              </w:rPr>
            </w:pPr>
          </w:p>
        </w:tc>
        <w:tc>
          <w:tcPr>
            <w:tcW w:w="0" w:type="auto"/>
            <w:hideMark/>
          </w:tcPr>
          <w:p w14:paraId="4E412A17" w14:textId="77777777" w:rsidR="00190319" w:rsidRPr="00190319" w:rsidRDefault="00190319" w:rsidP="00190319">
            <w:pPr>
              <w:jc w:val="center"/>
              <w:rPr>
                <w:rFonts w:eastAsia="Times New Roman"/>
              </w:rPr>
            </w:pPr>
          </w:p>
        </w:tc>
        <w:tc>
          <w:tcPr>
            <w:tcW w:w="0" w:type="auto"/>
            <w:hideMark/>
          </w:tcPr>
          <w:p w14:paraId="34F89EE8" w14:textId="77777777" w:rsidR="00190319" w:rsidRPr="00190319" w:rsidRDefault="00190319" w:rsidP="00190319">
            <w:pPr>
              <w:jc w:val="center"/>
              <w:rPr>
                <w:rFonts w:eastAsia="Times New Roman"/>
              </w:rPr>
            </w:pPr>
          </w:p>
        </w:tc>
        <w:tc>
          <w:tcPr>
            <w:tcW w:w="0" w:type="auto"/>
            <w:hideMark/>
          </w:tcPr>
          <w:p w14:paraId="40F4E8FF" w14:textId="77777777" w:rsidR="00190319" w:rsidRPr="00190319" w:rsidRDefault="00190319" w:rsidP="00190319">
            <w:pPr>
              <w:jc w:val="center"/>
              <w:rPr>
                <w:rFonts w:eastAsia="Times New Roman"/>
              </w:rPr>
            </w:pPr>
          </w:p>
        </w:tc>
      </w:tr>
      <w:tr w:rsidR="00190319" w:rsidRPr="00190319" w14:paraId="67C62186" w14:textId="77777777" w:rsidTr="00190319">
        <w:tc>
          <w:tcPr>
            <w:tcW w:w="0" w:type="auto"/>
            <w:hideMark/>
          </w:tcPr>
          <w:p w14:paraId="78CEEFCA" w14:textId="77777777" w:rsidR="00190319" w:rsidRPr="00190319" w:rsidRDefault="00190319" w:rsidP="00190319">
            <w:pPr>
              <w:jc w:val="center"/>
            </w:pPr>
            <w:r w:rsidRPr="00190319">
              <w:t>Spring</w:t>
            </w:r>
          </w:p>
        </w:tc>
        <w:tc>
          <w:tcPr>
            <w:tcW w:w="0" w:type="auto"/>
            <w:hideMark/>
          </w:tcPr>
          <w:p w14:paraId="35D21ECE" w14:textId="77777777" w:rsidR="00190319" w:rsidRPr="00190319" w:rsidRDefault="00190319" w:rsidP="00190319">
            <w:pPr>
              <w:jc w:val="center"/>
            </w:pPr>
            <w:r w:rsidRPr="00190319">
              <w:t>124</w:t>
            </w:r>
          </w:p>
        </w:tc>
        <w:tc>
          <w:tcPr>
            <w:tcW w:w="0" w:type="auto"/>
            <w:hideMark/>
          </w:tcPr>
          <w:p w14:paraId="58F49994" w14:textId="77777777" w:rsidR="00190319" w:rsidRPr="00190319" w:rsidRDefault="00190319" w:rsidP="00190319">
            <w:pPr>
              <w:jc w:val="center"/>
            </w:pPr>
            <w:r w:rsidRPr="00190319">
              <w:t>85.8</w:t>
            </w:r>
          </w:p>
        </w:tc>
        <w:tc>
          <w:tcPr>
            <w:tcW w:w="0" w:type="auto"/>
            <w:hideMark/>
          </w:tcPr>
          <w:p w14:paraId="3AB4AD50" w14:textId="77777777" w:rsidR="00190319" w:rsidRPr="00190319" w:rsidRDefault="00190319" w:rsidP="00190319">
            <w:pPr>
              <w:jc w:val="center"/>
            </w:pPr>
            <w:r w:rsidRPr="00190319">
              <w:t>8.8</w:t>
            </w:r>
          </w:p>
        </w:tc>
        <w:tc>
          <w:tcPr>
            <w:tcW w:w="0" w:type="auto"/>
            <w:hideMark/>
          </w:tcPr>
          <w:p w14:paraId="4069BB24" w14:textId="77777777" w:rsidR="00190319" w:rsidRPr="00190319" w:rsidRDefault="00190319" w:rsidP="00190319">
            <w:pPr>
              <w:jc w:val="center"/>
            </w:pPr>
            <w:r w:rsidRPr="00190319">
              <w:t>+1.6</w:t>
            </w:r>
          </w:p>
        </w:tc>
        <w:tc>
          <w:tcPr>
            <w:tcW w:w="0" w:type="auto"/>
            <w:hideMark/>
          </w:tcPr>
          <w:p w14:paraId="333D2F31" w14:textId="77777777" w:rsidR="00190319" w:rsidRPr="00190319" w:rsidRDefault="00190319" w:rsidP="00190319">
            <w:pPr>
              <w:jc w:val="center"/>
            </w:pPr>
            <w:r w:rsidRPr="00190319">
              <w:t>±8.2</w:t>
            </w:r>
          </w:p>
        </w:tc>
        <w:tc>
          <w:tcPr>
            <w:tcW w:w="0" w:type="auto"/>
            <w:hideMark/>
          </w:tcPr>
          <w:p w14:paraId="4D483FD8" w14:textId="77777777" w:rsidR="00190319" w:rsidRPr="00190319" w:rsidRDefault="00190319" w:rsidP="00190319">
            <w:pPr>
              <w:jc w:val="center"/>
            </w:pPr>
            <w:r w:rsidRPr="00190319">
              <w:t>0.83</w:t>
            </w:r>
          </w:p>
        </w:tc>
      </w:tr>
      <w:tr w:rsidR="00190319" w:rsidRPr="00190319" w14:paraId="4E421A54" w14:textId="77777777" w:rsidTr="00190319">
        <w:tc>
          <w:tcPr>
            <w:tcW w:w="0" w:type="auto"/>
            <w:hideMark/>
          </w:tcPr>
          <w:p w14:paraId="37010CA3" w14:textId="77777777" w:rsidR="00190319" w:rsidRPr="00190319" w:rsidRDefault="00190319" w:rsidP="00190319">
            <w:pPr>
              <w:jc w:val="center"/>
            </w:pPr>
            <w:r w:rsidRPr="00190319">
              <w:t>Summer</w:t>
            </w:r>
          </w:p>
        </w:tc>
        <w:tc>
          <w:tcPr>
            <w:tcW w:w="0" w:type="auto"/>
            <w:hideMark/>
          </w:tcPr>
          <w:p w14:paraId="3E4EA5D4" w14:textId="77777777" w:rsidR="00190319" w:rsidRPr="00190319" w:rsidRDefault="00190319" w:rsidP="00190319">
            <w:pPr>
              <w:jc w:val="center"/>
            </w:pPr>
            <w:r w:rsidRPr="00190319">
              <w:t>142</w:t>
            </w:r>
          </w:p>
        </w:tc>
        <w:tc>
          <w:tcPr>
            <w:tcW w:w="0" w:type="auto"/>
            <w:hideMark/>
          </w:tcPr>
          <w:p w14:paraId="6A3C7CF8" w14:textId="77777777" w:rsidR="00190319" w:rsidRPr="00190319" w:rsidRDefault="00190319" w:rsidP="00190319">
            <w:pPr>
              <w:jc w:val="center"/>
            </w:pPr>
            <w:r w:rsidRPr="00190319">
              <w:t>90.6</w:t>
            </w:r>
          </w:p>
        </w:tc>
        <w:tc>
          <w:tcPr>
            <w:tcW w:w="0" w:type="auto"/>
            <w:hideMark/>
          </w:tcPr>
          <w:p w14:paraId="2D9336D2" w14:textId="77777777" w:rsidR="00190319" w:rsidRPr="00190319" w:rsidRDefault="00190319" w:rsidP="00190319">
            <w:pPr>
              <w:jc w:val="center"/>
            </w:pPr>
            <w:r w:rsidRPr="00190319">
              <w:t>7.2</w:t>
            </w:r>
          </w:p>
        </w:tc>
        <w:tc>
          <w:tcPr>
            <w:tcW w:w="0" w:type="auto"/>
            <w:hideMark/>
          </w:tcPr>
          <w:p w14:paraId="03AAF261" w14:textId="77777777" w:rsidR="00190319" w:rsidRPr="00190319" w:rsidRDefault="00190319" w:rsidP="00190319">
            <w:pPr>
              <w:jc w:val="center"/>
            </w:pPr>
            <w:r w:rsidRPr="00190319">
              <w:t>-0.8</w:t>
            </w:r>
          </w:p>
        </w:tc>
        <w:tc>
          <w:tcPr>
            <w:tcW w:w="0" w:type="auto"/>
            <w:hideMark/>
          </w:tcPr>
          <w:p w14:paraId="50212FC8" w14:textId="77777777" w:rsidR="00190319" w:rsidRPr="00190319" w:rsidRDefault="00190319" w:rsidP="00190319">
            <w:pPr>
              <w:jc w:val="center"/>
            </w:pPr>
            <w:r w:rsidRPr="00190319">
              <w:t>±6.4</w:t>
            </w:r>
          </w:p>
        </w:tc>
        <w:tc>
          <w:tcPr>
            <w:tcW w:w="0" w:type="auto"/>
            <w:hideMark/>
          </w:tcPr>
          <w:p w14:paraId="2432DC82" w14:textId="77777777" w:rsidR="00190319" w:rsidRPr="00190319" w:rsidRDefault="00190319" w:rsidP="00190319">
            <w:pPr>
              <w:jc w:val="center"/>
            </w:pPr>
            <w:r w:rsidRPr="00190319">
              <w:t>0.88</w:t>
            </w:r>
          </w:p>
        </w:tc>
      </w:tr>
      <w:tr w:rsidR="00190319" w:rsidRPr="00190319" w14:paraId="06E8F2B8" w14:textId="77777777" w:rsidTr="00190319">
        <w:tc>
          <w:tcPr>
            <w:tcW w:w="0" w:type="auto"/>
            <w:hideMark/>
          </w:tcPr>
          <w:p w14:paraId="58F8DDB5" w14:textId="77777777" w:rsidR="00190319" w:rsidRPr="00190319" w:rsidRDefault="00190319" w:rsidP="00190319">
            <w:pPr>
              <w:jc w:val="center"/>
            </w:pPr>
            <w:r w:rsidRPr="00190319">
              <w:t>Autumn</w:t>
            </w:r>
          </w:p>
        </w:tc>
        <w:tc>
          <w:tcPr>
            <w:tcW w:w="0" w:type="auto"/>
            <w:hideMark/>
          </w:tcPr>
          <w:p w14:paraId="5E5E56BF" w14:textId="77777777" w:rsidR="00190319" w:rsidRPr="00190319" w:rsidRDefault="00190319" w:rsidP="00190319">
            <w:pPr>
              <w:jc w:val="center"/>
            </w:pPr>
            <w:r w:rsidRPr="00190319">
              <w:t>118</w:t>
            </w:r>
          </w:p>
        </w:tc>
        <w:tc>
          <w:tcPr>
            <w:tcW w:w="0" w:type="auto"/>
            <w:hideMark/>
          </w:tcPr>
          <w:p w14:paraId="6432D01A" w14:textId="77777777" w:rsidR="00190319" w:rsidRPr="00190319" w:rsidRDefault="00190319" w:rsidP="00190319">
            <w:pPr>
              <w:jc w:val="center"/>
            </w:pPr>
            <w:r w:rsidRPr="00190319">
              <w:t>87.4</w:t>
            </w:r>
          </w:p>
        </w:tc>
        <w:tc>
          <w:tcPr>
            <w:tcW w:w="0" w:type="auto"/>
            <w:hideMark/>
          </w:tcPr>
          <w:p w14:paraId="0C6652CF" w14:textId="77777777" w:rsidR="00190319" w:rsidRPr="00190319" w:rsidRDefault="00190319" w:rsidP="00190319">
            <w:pPr>
              <w:jc w:val="center"/>
            </w:pPr>
            <w:r w:rsidRPr="00190319">
              <w:t>8.6</w:t>
            </w:r>
          </w:p>
        </w:tc>
        <w:tc>
          <w:tcPr>
            <w:tcW w:w="0" w:type="auto"/>
            <w:hideMark/>
          </w:tcPr>
          <w:p w14:paraId="4C838F1D" w14:textId="77777777" w:rsidR="00190319" w:rsidRPr="00190319" w:rsidRDefault="00190319" w:rsidP="00190319">
            <w:pPr>
              <w:jc w:val="center"/>
            </w:pPr>
            <w:r w:rsidRPr="00190319">
              <w:t>+0.9</w:t>
            </w:r>
          </w:p>
        </w:tc>
        <w:tc>
          <w:tcPr>
            <w:tcW w:w="0" w:type="auto"/>
            <w:hideMark/>
          </w:tcPr>
          <w:p w14:paraId="6E16230D" w14:textId="77777777" w:rsidR="00190319" w:rsidRPr="00190319" w:rsidRDefault="00190319" w:rsidP="00190319">
            <w:pPr>
              <w:jc w:val="center"/>
            </w:pPr>
            <w:r w:rsidRPr="00190319">
              <w:t>±7.8</w:t>
            </w:r>
          </w:p>
        </w:tc>
        <w:tc>
          <w:tcPr>
            <w:tcW w:w="0" w:type="auto"/>
            <w:hideMark/>
          </w:tcPr>
          <w:p w14:paraId="624B898E" w14:textId="77777777" w:rsidR="00190319" w:rsidRPr="00190319" w:rsidRDefault="00190319" w:rsidP="00190319">
            <w:pPr>
              <w:jc w:val="center"/>
            </w:pPr>
            <w:r w:rsidRPr="00190319">
              <w:t>0.85</w:t>
            </w:r>
          </w:p>
        </w:tc>
      </w:tr>
      <w:tr w:rsidR="00190319" w:rsidRPr="00190319" w14:paraId="0FE7918D" w14:textId="77777777" w:rsidTr="00190319">
        <w:tc>
          <w:tcPr>
            <w:tcW w:w="0" w:type="auto"/>
            <w:hideMark/>
          </w:tcPr>
          <w:p w14:paraId="31B42010" w14:textId="77777777" w:rsidR="00190319" w:rsidRPr="00190319" w:rsidRDefault="00190319" w:rsidP="00190319">
            <w:pPr>
              <w:jc w:val="center"/>
            </w:pPr>
            <w:r w:rsidRPr="00190319">
              <w:t>Winter</w:t>
            </w:r>
          </w:p>
        </w:tc>
        <w:tc>
          <w:tcPr>
            <w:tcW w:w="0" w:type="auto"/>
            <w:hideMark/>
          </w:tcPr>
          <w:p w14:paraId="663EC786" w14:textId="77777777" w:rsidR="00190319" w:rsidRPr="00190319" w:rsidRDefault="00190319" w:rsidP="00190319">
            <w:pPr>
              <w:jc w:val="center"/>
            </w:pPr>
            <w:r w:rsidRPr="00190319">
              <w:t>102</w:t>
            </w:r>
          </w:p>
        </w:tc>
        <w:tc>
          <w:tcPr>
            <w:tcW w:w="0" w:type="auto"/>
            <w:hideMark/>
          </w:tcPr>
          <w:p w14:paraId="117944FC" w14:textId="77777777" w:rsidR="00190319" w:rsidRPr="00190319" w:rsidRDefault="00190319" w:rsidP="00190319">
            <w:pPr>
              <w:jc w:val="center"/>
            </w:pPr>
            <w:r w:rsidRPr="00190319">
              <w:t>82.4</w:t>
            </w:r>
          </w:p>
        </w:tc>
        <w:tc>
          <w:tcPr>
            <w:tcW w:w="0" w:type="auto"/>
            <w:hideMark/>
          </w:tcPr>
          <w:p w14:paraId="74584133" w14:textId="77777777" w:rsidR="00190319" w:rsidRPr="00190319" w:rsidRDefault="00190319" w:rsidP="00190319">
            <w:pPr>
              <w:jc w:val="center"/>
            </w:pPr>
            <w:r w:rsidRPr="00190319">
              <w:t>9.5</w:t>
            </w:r>
          </w:p>
        </w:tc>
        <w:tc>
          <w:tcPr>
            <w:tcW w:w="0" w:type="auto"/>
            <w:hideMark/>
          </w:tcPr>
          <w:p w14:paraId="78CA3091" w14:textId="77777777" w:rsidR="00190319" w:rsidRPr="00190319" w:rsidRDefault="00190319" w:rsidP="00190319">
            <w:pPr>
              <w:jc w:val="center"/>
            </w:pPr>
            <w:r w:rsidRPr="00190319">
              <w:t>+3.2</w:t>
            </w:r>
          </w:p>
        </w:tc>
        <w:tc>
          <w:tcPr>
            <w:tcW w:w="0" w:type="auto"/>
            <w:hideMark/>
          </w:tcPr>
          <w:p w14:paraId="7FB6325E" w14:textId="77777777" w:rsidR="00190319" w:rsidRPr="00190319" w:rsidRDefault="00190319" w:rsidP="00190319">
            <w:pPr>
              <w:jc w:val="center"/>
            </w:pPr>
            <w:r w:rsidRPr="00190319">
              <w:t>±9.1</w:t>
            </w:r>
          </w:p>
        </w:tc>
        <w:tc>
          <w:tcPr>
            <w:tcW w:w="0" w:type="auto"/>
            <w:hideMark/>
          </w:tcPr>
          <w:p w14:paraId="0BB73E8E" w14:textId="77777777" w:rsidR="00190319" w:rsidRPr="00190319" w:rsidRDefault="00190319" w:rsidP="00190319">
            <w:pPr>
              <w:jc w:val="center"/>
            </w:pPr>
            <w:r w:rsidRPr="00190319">
              <w:t>0.80</w:t>
            </w:r>
          </w:p>
        </w:tc>
      </w:tr>
      <w:tr w:rsidR="00190319" w:rsidRPr="00190319" w14:paraId="053A3B37" w14:textId="77777777" w:rsidTr="00190319">
        <w:tc>
          <w:tcPr>
            <w:tcW w:w="0" w:type="auto"/>
            <w:hideMark/>
          </w:tcPr>
          <w:p w14:paraId="41C77808" w14:textId="77777777" w:rsidR="00190319" w:rsidRPr="00190319" w:rsidRDefault="00190319" w:rsidP="00190319">
            <w:pPr>
              <w:jc w:val="center"/>
            </w:pPr>
            <w:r w:rsidRPr="00190319">
              <w:rPr>
                <w:b/>
                <w:bCs/>
              </w:rPr>
              <w:t>Overall</w:t>
            </w:r>
          </w:p>
        </w:tc>
        <w:tc>
          <w:tcPr>
            <w:tcW w:w="0" w:type="auto"/>
            <w:hideMark/>
          </w:tcPr>
          <w:p w14:paraId="1C54B262" w14:textId="77777777" w:rsidR="00190319" w:rsidRPr="00190319" w:rsidRDefault="00190319" w:rsidP="00190319">
            <w:pPr>
              <w:jc w:val="center"/>
            </w:pPr>
            <w:r w:rsidRPr="00190319">
              <w:rPr>
                <w:b/>
                <w:bCs/>
              </w:rPr>
              <w:t>486</w:t>
            </w:r>
          </w:p>
        </w:tc>
        <w:tc>
          <w:tcPr>
            <w:tcW w:w="0" w:type="auto"/>
            <w:hideMark/>
          </w:tcPr>
          <w:p w14:paraId="784C2D85" w14:textId="77777777" w:rsidR="00190319" w:rsidRPr="00190319" w:rsidRDefault="00190319" w:rsidP="00190319">
            <w:pPr>
              <w:jc w:val="center"/>
            </w:pPr>
            <w:r w:rsidRPr="00190319">
              <w:rPr>
                <w:b/>
                <w:bCs/>
              </w:rPr>
              <w:t>87.3</w:t>
            </w:r>
          </w:p>
        </w:tc>
        <w:tc>
          <w:tcPr>
            <w:tcW w:w="0" w:type="auto"/>
            <w:hideMark/>
          </w:tcPr>
          <w:p w14:paraId="1D7B31F1" w14:textId="77777777" w:rsidR="00190319" w:rsidRPr="00190319" w:rsidRDefault="00190319" w:rsidP="00190319">
            <w:pPr>
              <w:jc w:val="center"/>
            </w:pPr>
            <w:r w:rsidRPr="00190319">
              <w:rPr>
                <w:b/>
                <w:bCs/>
              </w:rPr>
              <w:t>8.2</w:t>
            </w:r>
          </w:p>
        </w:tc>
        <w:tc>
          <w:tcPr>
            <w:tcW w:w="0" w:type="auto"/>
            <w:hideMark/>
          </w:tcPr>
          <w:p w14:paraId="1A37B050" w14:textId="77777777" w:rsidR="00190319" w:rsidRPr="00190319" w:rsidRDefault="00190319" w:rsidP="00190319">
            <w:pPr>
              <w:jc w:val="center"/>
            </w:pPr>
            <w:r w:rsidRPr="00190319">
              <w:rPr>
                <w:b/>
                <w:bCs/>
              </w:rPr>
              <w:t>+1.1</w:t>
            </w:r>
          </w:p>
        </w:tc>
        <w:tc>
          <w:tcPr>
            <w:tcW w:w="0" w:type="auto"/>
            <w:hideMark/>
          </w:tcPr>
          <w:p w14:paraId="6573A4A8" w14:textId="77777777" w:rsidR="00190319" w:rsidRPr="00190319" w:rsidRDefault="00190319" w:rsidP="00190319">
            <w:pPr>
              <w:jc w:val="center"/>
            </w:pPr>
            <w:r w:rsidRPr="00190319">
              <w:rPr>
                <w:b/>
                <w:bCs/>
              </w:rPr>
              <w:t>±7.5</w:t>
            </w:r>
          </w:p>
        </w:tc>
        <w:tc>
          <w:tcPr>
            <w:tcW w:w="0" w:type="auto"/>
            <w:hideMark/>
          </w:tcPr>
          <w:p w14:paraId="2080B8B2" w14:textId="77777777" w:rsidR="00190319" w:rsidRPr="00190319" w:rsidRDefault="00190319" w:rsidP="00190319">
            <w:pPr>
              <w:jc w:val="center"/>
            </w:pPr>
            <w:r w:rsidRPr="00190319">
              <w:rPr>
                <w:b/>
                <w:bCs/>
              </w:rPr>
              <w:t>0.85</w:t>
            </w:r>
          </w:p>
        </w:tc>
      </w:tr>
    </w:tbl>
    <w:bookmarkEnd w:id="5"/>
    <w:p w14:paraId="06A0A671" w14:textId="1F361771" w:rsidR="00FC4262" w:rsidRDefault="00FC4262" w:rsidP="00B82309">
      <w:pPr>
        <w:pStyle w:val="2"/>
      </w:pPr>
      <w:r w:rsidRPr="00FC4262">
        <w:t>4 Conclusion</w:t>
      </w:r>
    </w:p>
    <w:p w14:paraId="792E02D8" w14:textId="75D4623E" w:rsidR="00B82309" w:rsidRPr="00B82309" w:rsidRDefault="00B82309" w:rsidP="00B82309">
      <w:r>
        <w:t>This comprehensive investigation of vegetation restoration dynamics around power facilities revealed distinct seasonal patterns that fundamentally influence recovery trajectories and monitoring effectiveness. The integrated remote sensing framework successfully captured complex spatiotemporal variations, demonstrating that spring and autumn periods provide optimal windows for restoration assessment due to maximum phenological contrasts and spectral separability. Critical distance thresholds emerged at 8.2 km for 50% recovery and 27 km for 90% restoration, with directional asymmetry driven by prevailing wind patterns creating elongated impact zones extending up to 18 km downwind. The multi-source data integration approach, combining satellite imagery with ground validation across seasonal cycles, achieved overall accuracy of 87.3% while revealing that organic matter content and integrated air quality indices served as the most robust restoration indicators. These findings advance theoretical understanding by establishing a transferable monitoring framework that accounts for seasonal phenological variations and environmental factor interactions previously overlooked in industrial impact assessments. Practical applications include optimized monitoring protocols that reduce assessment costs by 40% through strategic seasonal sampling, while providing regulatory agencies with quantitative metrics for compliance evaluation and adaptive management. Despite limitations imposed by cloud cover during critical growth periods and the site-specific nature of some parameters, this research establishes a foundation for global application in industrial ecosystem restoration, particularly as climate change intensifies the urgency of effective vegetation recovery strategies around energy infrastructure.</w:t>
      </w:r>
    </w:p>
    <w:p w14:paraId="5206E4EF" w14:textId="77777777" w:rsidR="00FF7989" w:rsidRPr="00FF7989" w:rsidRDefault="00FF7989" w:rsidP="00FF7989">
      <w:pPr>
        <w:pStyle w:val="2"/>
      </w:pPr>
      <w:r w:rsidRPr="00FF7989">
        <w:t>References</w:t>
      </w:r>
    </w:p>
    <w:p w14:paraId="41558156" w14:textId="77777777" w:rsidR="00A103A9" w:rsidRPr="00A103A9" w:rsidRDefault="00ED56F0" w:rsidP="00A103A9">
      <w:pPr>
        <w:pStyle w:val="EndNoteBibliography"/>
      </w:pPr>
      <w:r>
        <w:fldChar w:fldCharType="begin"/>
      </w:r>
      <w:r>
        <w:instrText xml:space="preserve"> ADDIN EN.REFLIST </w:instrText>
      </w:r>
      <w:r>
        <w:fldChar w:fldCharType="separate"/>
      </w:r>
      <w:r w:rsidR="00A103A9" w:rsidRPr="00A103A9">
        <w:t>[1] Z. Li, D. Xu, X. Guo, Remote sensing of ecosystem health: opportunities, challenges, and future perspectives, Sensors 14(11) (2014) 21117-21139.</w:t>
      </w:r>
    </w:p>
    <w:p w14:paraId="5AA5324B" w14:textId="77777777" w:rsidR="00A103A9" w:rsidRPr="00A103A9" w:rsidRDefault="00A103A9" w:rsidP="00A103A9">
      <w:pPr>
        <w:pStyle w:val="EndNoteBibliography"/>
      </w:pPr>
      <w:r w:rsidRPr="00A103A9">
        <w:t>[2] R. Nagarajan, Environmental impact analysis of Dudhganga Dam in India-a multi-temporal remote sensing approach, International Journal of Remote Sensing 21(3) (2000) 483-497.</w:t>
      </w:r>
    </w:p>
    <w:p w14:paraId="76687432" w14:textId="77777777" w:rsidR="00A103A9" w:rsidRPr="00A103A9" w:rsidRDefault="00A103A9" w:rsidP="00A103A9">
      <w:pPr>
        <w:pStyle w:val="EndNoteBibliography"/>
      </w:pPr>
      <w:r w:rsidRPr="00A103A9">
        <w:t>[3] J. Verbesselt, A. Zeileis, M. Herold, Near real-time disturbance detection using satellite image time series, Remote Sensing of Environment 123 (2012) 98-108.</w:t>
      </w:r>
    </w:p>
    <w:p w14:paraId="711D3BFA" w14:textId="77777777" w:rsidR="00A103A9" w:rsidRPr="00A103A9" w:rsidRDefault="00A103A9" w:rsidP="00A103A9">
      <w:pPr>
        <w:pStyle w:val="EndNoteBibliography"/>
      </w:pPr>
      <w:r w:rsidRPr="00A103A9">
        <w:t>[4] Y. Zhu, L. Wang, J. Ma, Z. Hua, Y. Yang, F. Chen, Assessment of carbon sequestration potential of mining areas under ecological restoration in China, Science of the Total Environment 921 (2024) 171179.</w:t>
      </w:r>
    </w:p>
    <w:p w14:paraId="08D1CB9C" w14:textId="77777777" w:rsidR="00A103A9" w:rsidRPr="00A103A9" w:rsidRDefault="00A103A9" w:rsidP="00A103A9">
      <w:pPr>
        <w:pStyle w:val="EndNoteBibliography"/>
      </w:pPr>
      <w:r w:rsidRPr="00A103A9">
        <w:t>[5] S. Ji, S. Ma, The effects of industrial pollution on ecosystem service value: A case study in a heavy industrial area, China, Environment, Development and Sustainability 24(5) (2022) 6804-6833.</w:t>
      </w:r>
    </w:p>
    <w:p w14:paraId="0DACC59D" w14:textId="77777777" w:rsidR="00A103A9" w:rsidRPr="00A103A9" w:rsidRDefault="00A103A9" w:rsidP="00A103A9">
      <w:pPr>
        <w:pStyle w:val="EndNoteBibliography"/>
      </w:pPr>
      <w:r w:rsidRPr="00A103A9">
        <w:t xml:space="preserve">[6] B. Wu, M. Zhang, H. Zeng, F. Tian, A.B. Potgieter, X. Qin, N. Yan, S. Chang, Y. Zhao, Q. Dong, Challenges and opportunities in remote sensing-based crop monitoring: A review, National Science </w:t>
      </w:r>
      <w:r w:rsidRPr="00A103A9">
        <w:lastRenderedPageBreak/>
        <w:t>Review 10(4) (2023) nwac290.</w:t>
      </w:r>
    </w:p>
    <w:p w14:paraId="1D03C917" w14:textId="77777777" w:rsidR="00A103A9" w:rsidRPr="00A103A9" w:rsidRDefault="00A103A9" w:rsidP="00A103A9">
      <w:pPr>
        <w:pStyle w:val="EndNoteBibliography"/>
      </w:pPr>
      <w:r w:rsidRPr="00A103A9">
        <w:t>[7] W. Song, W. Song, H. Gu, F. Li, Progress in the remote sensing monitoring of the ecological environment in mining areas, International journal of environmental research and public health 17(6) (2020) 1846.</w:t>
      </w:r>
    </w:p>
    <w:p w14:paraId="5444C2DE" w14:textId="77777777" w:rsidR="00A103A9" w:rsidRPr="00A103A9" w:rsidRDefault="00A103A9" w:rsidP="00A103A9">
      <w:pPr>
        <w:pStyle w:val="EndNoteBibliography"/>
      </w:pPr>
      <w:r w:rsidRPr="00A103A9">
        <w:rPr>
          <w:rFonts w:hint="eastAsia"/>
        </w:rPr>
        <w:t>[8] C.J. Yates, D.A. Norton, R.J. Hobbs, Grazing effects on plant cover, soil and microclimate in fragmented woodlands in south</w:t>
      </w:r>
      <w:r w:rsidRPr="00A103A9">
        <w:rPr>
          <w:rFonts w:hint="eastAsia"/>
        </w:rPr>
        <w:t>‐</w:t>
      </w:r>
      <w:r w:rsidRPr="00A103A9">
        <w:rPr>
          <w:rFonts w:hint="eastAsia"/>
        </w:rPr>
        <w:t>western Australia: implications for restoration, Austral Ecology 25(1) (2</w:t>
      </w:r>
      <w:r w:rsidRPr="00A103A9">
        <w:t>000) 36-47.</w:t>
      </w:r>
    </w:p>
    <w:p w14:paraId="7D5732EB" w14:textId="77777777" w:rsidR="00A103A9" w:rsidRPr="00A103A9" w:rsidRDefault="00A103A9" w:rsidP="00A103A9">
      <w:pPr>
        <w:pStyle w:val="EndNoteBibliography"/>
      </w:pPr>
      <w:r w:rsidRPr="00A103A9">
        <w:t>[9] J. Yin, Q. Wei, D. Shao, Z. Luo, L. Ji, The impacts of power transmission and transformation projects on ecological corridors and landscape connectivity: a case study of Shandong province, China, Scientific Reports 15(1) (2025) 6709.</w:t>
      </w:r>
    </w:p>
    <w:p w14:paraId="2C8E5D07" w14:textId="77777777" w:rsidR="00A103A9" w:rsidRPr="00A103A9" w:rsidRDefault="00A103A9" w:rsidP="00A103A9">
      <w:pPr>
        <w:pStyle w:val="EndNoteBibliography"/>
      </w:pPr>
      <w:r w:rsidRPr="00A103A9">
        <w:t>[10] J. Wang, J. Liu, H. Wang, C. Mei, Approaches to multi-objective optimization and assessment of green infrastructure and their multi-functional effectiveness: a review, Water 12(10) (2020) 2714.</w:t>
      </w:r>
    </w:p>
    <w:p w14:paraId="78091629" w14:textId="77777777" w:rsidR="00A103A9" w:rsidRPr="00A103A9" w:rsidRDefault="00A103A9" w:rsidP="00A103A9">
      <w:pPr>
        <w:pStyle w:val="EndNoteBibliography"/>
      </w:pPr>
      <w:r w:rsidRPr="00A103A9">
        <w:t>[11] R.A. Francis, S.M. Falconi, R. Nateghi, S.D. Guikema, Probabilistic life cycle analysis model for evaluating electric power infrastructure risk mitigation investments, Climatic change 106(1) (2011) 31-55.</w:t>
      </w:r>
    </w:p>
    <w:p w14:paraId="0E2C25EF" w14:textId="77777777" w:rsidR="00A103A9" w:rsidRPr="00A103A9" w:rsidRDefault="00A103A9" w:rsidP="00A103A9">
      <w:pPr>
        <w:pStyle w:val="EndNoteBibliography"/>
      </w:pPr>
      <w:r w:rsidRPr="00A103A9">
        <w:t>[12] D.R. Panuju, B.H. Trisasongko, Seasonal pattern of vegetative cover from NDVI time-series, Tropical Forests 255 (2012).</w:t>
      </w:r>
    </w:p>
    <w:p w14:paraId="0478038F" w14:textId="77777777" w:rsidR="00A103A9" w:rsidRPr="00A103A9" w:rsidRDefault="00A103A9" w:rsidP="00A103A9">
      <w:pPr>
        <w:pStyle w:val="EndNoteBibliography"/>
      </w:pPr>
      <w:r w:rsidRPr="00A103A9">
        <w:t>[13] M. Boschetti, D. Stroppiana, P. Brivio, S. Bocchi, Multi-year monitoring of rice crop phenology through time series analysis of MODIS images, International journal of remote sensing 30(18) (2009) 4643-4662.</w:t>
      </w:r>
    </w:p>
    <w:p w14:paraId="7638C325" w14:textId="77777777" w:rsidR="00A103A9" w:rsidRPr="00A103A9" w:rsidRDefault="00A103A9" w:rsidP="00A103A9">
      <w:pPr>
        <w:pStyle w:val="EndNoteBibliography"/>
      </w:pPr>
      <w:r w:rsidRPr="00A103A9">
        <w:t>[14] S.O. Araujo, R.S. Peres, J.C. Ramalho, F. Lidon, J. Barata, Machine learning applications in agriculture: current trends, challenges, and future perspectives, Agronomy 13(12) (2023) 2976.</w:t>
      </w:r>
    </w:p>
    <w:p w14:paraId="711B1AE0" w14:textId="77777777" w:rsidR="00A103A9" w:rsidRPr="00A103A9" w:rsidRDefault="00A103A9" w:rsidP="00A103A9">
      <w:pPr>
        <w:pStyle w:val="EndNoteBibliography"/>
      </w:pPr>
      <w:r w:rsidRPr="00A103A9">
        <w:t>[15] C. Matyukira, P. Mhangara, Advances in vegetation mapping through remote sensing and machine learning techniques: a scientometric review, European Journal of Remote Sensing 57(1) (2024) 2422330.</w:t>
      </w:r>
    </w:p>
    <w:p w14:paraId="2CE2818E" w14:textId="77777777" w:rsidR="00A103A9" w:rsidRPr="00A103A9" w:rsidRDefault="00A103A9" w:rsidP="00A103A9">
      <w:pPr>
        <w:pStyle w:val="EndNoteBibliography"/>
      </w:pPr>
      <w:r w:rsidRPr="00A103A9">
        <w:t>[16] M. Maimaitijiang, V. Sagan, P. Sidike, A.M. Daloye, H. Erkbol, F.B. Fritschi, Crop monitoring using satellite/UAV data fusion and machine learning, Remote Sensing 12(9) (2020) 1357.</w:t>
      </w:r>
    </w:p>
    <w:p w14:paraId="6894D51B" w14:textId="77777777" w:rsidR="00A103A9" w:rsidRPr="00A103A9" w:rsidRDefault="00A103A9" w:rsidP="00A103A9">
      <w:pPr>
        <w:pStyle w:val="EndNoteBibliography"/>
      </w:pPr>
      <w:r w:rsidRPr="00A103A9">
        <w:t>[17] S. Asgari, M. Hasanlou, A comparative study of machine learning classifiers for crop type mapping using vegetation indices, ISPRS Annals of the Photogrammetry, Remote Sensing and Spatial Information Sciences 10 (2023) 79-85.</w:t>
      </w:r>
    </w:p>
    <w:p w14:paraId="6136FCDB" w14:textId="77777777" w:rsidR="00A103A9" w:rsidRPr="00A103A9" w:rsidRDefault="00A103A9" w:rsidP="00A103A9">
      <w:pPr>
        <w:pStyle w:val="EndNoteBibliography"/>
      </w:pPr>
      <w:r w:rsidRPr="00A103A9">
        <w:t>[18] S. Liu, L. Liu, J. Li, Q. Zhou, Y. Ji, W. Lai, C. Long, Spatiotemporal Variability of Human Disturbance Impacts on Ecosystem Services in Mining Areas, Sustainability 14(13) (2022) 7547.</w:t>
      </w:r>
    </w:p>
    <w:p w14:paraId="718F66BA" w14:textId="77777777" w:rsidR="00A103A9" w:rsidRPr="00A103A9" w:rsidRDefault="00A103A9" w:rsidP="00A103A9">
      <w:pPr>
        <w:pStyle w:val="EndNoteBibliography"/>
      </w:pPr>
      <w:r w:rsidRPr="00A103A9">
        <w:t>[19] G.T. Yengoh, D. Dent, L. Olsson, A.E. Tengberg, C.J. Tucker III, Use of the Normalized Difference Vegetation Index (NDVI) to assess Land degradation at multiple scales: current status, future trends, and practical considerations, Springer2015.</w:t>
      </w:r>
    </w:p>
    <w:p w14:paraId="454DA5FC" w14:textId="77777777" w:rsidR="00A103A9" w:rsidRPr="00A103A9" w:rsidRDefault="00A103A9" w:rsidP="00A103A9">
      <w:pPr>
        <w:pStyle w:val="EndNoteBibliography"/>
      </w:pPr>
      <w:r w:rsidRPr="00A103A9">
        <w:t>[20] K. Yan, X. Yu, J. Liu, J. Wang, X. Chen, J. Pu, M. Weiss, R.B. Myneni, HiQ-FPAR: A High-Quality and Value-added MODIS Global FPAR Product from 2000 to 2023, Scientific Data 12(1) (2025) 72.</w:t>
      </w:r>
    </w:p>
    <w:p w14:paraId="7ADA207A" w14:textId="77777777" w:rsidR="00A103A9" w:rsidRPr="00A103A9" w:rsidRDefault="00A103A9" w:rsidP="00A103A9">
      <w:pPr>
        <w:pStyle w:val="EndNoteBibliography"/>
      </w:pPr>
      <w:r w:rsidRPr="00A103A9">
        <w:t>[21] B. Van Jaarsveld, S.M. Hauswirth, N. Wanders, Machine learning and global vegetation: random forests for downscaling and gap filling, Hydrology and Earth System Sciences 28(11) (2024) 2357-2374.</w:t>
      </w:r>
    </w:p>
    <w:p w14:paraId="23896368" w14:textId="77777777" w:rsidR="00A103A9" w:rsidRPr="00A103A9" w:rsidRDefault="00A103A9" w:rsidP="00A103A9">
      <w:pPr>
        <w:pStyle w:val="EndNoteBibliography"/>
      </w:pPr>
      <w:r w:rsidRPr="00A103A9">
        <w:t>[22] J.T. Delaney, D.M. Larson, Using explainable machine learning methods to evaluate vulnerability and restoration potential of ecosystem state transitions, Conservation Biology 38(3) (2024) e14203.</w:t>
      </w:r>
    </w:p>
    <w:p w14:paraId="5DBDC0E2" w14:textId="77777777" w:rsidR="00A103A9" w:rsidRPr="00A103A9" w:rsidRDefault="00A103A9" w:rsidP="00A103A9">
      <w:pPr>
        <w:pStyle w:val="EndNoteBibliography"/>
      </w:pPr>
      <w:r w:rsidRPr="00A103A9">
        <w:t>[23] I. Divine, C.P. Aguma, A.O. Olagunju, Integrating AI enhanced remote sensing technologies with IOT networks for precision environmental monitoring and predicative ecosystem management,  (2024).</w:t>
      </w:r>
    </w:p>
    <w:p w14:paraId="34098BEF" w14:textId="77777777" w:rsidR="00A103A9" w:rsidRPr="00A103A9" w:rsidRDefault="00A103A9" w:rsidP="00A103A9">
      <w:pPr>
        <w:pStyle w:val="EndNoteBibliography"/>
      </w:pPr>
      <w:r w:rsidRPr="00A103A9">
        <w:t xml:space="preserve">[24] G.G. Thompson, S.A. Thompson, A comparison of an environmental impact assessment (EIA) vertebrate fauna survey with a post-approval fauna salvage program: consequences of not adhering to </w:t>
      </w:r>
      <w:r w:rsidRPr="00A103A9">
        <w:lastRenderedPageBreak/>
        <w:t>EIA survey guidelines, a Western Australian example, Pacific Conservation Biology 26(4) (2020) 412-419.</w:t>
      </w:r>
    </w:p>
    <w:p w14:paraId="51C86972" w14:textId="77777777" w:rsidR="00A103A9" w:rsidRPr="00A103A9" w:rsidRDefault="00A103A9" w:rsidP="00A103A9">
      <w:pPr>
        <w:pStyle w:val="EndNoteBibliography"/>
      </w:pPr>
      <w:r w:rsidRPr="00A103A9">
        <w:t>[25] J. Zhang, Multi-source remote sensing data fusion: status and trends, International journal of image and data fusion 1(1) (2010) 5-24.</w:t>
      </w:r>
    </w:p>
    <w:p w14:paraId="10D1266A" w14:textId="77777777" w:rsidR="00A103A9" w:rsidRPr="00A103A9" w:rsidRDefault="00A103A9" w:rsidP="00A103A9">
      <w:pPr>
        <w:pStyle w:val="EndNoteBibliography"/>
      </w:pPr>
      <w:r w:rsidRPr="00A103A9">
        <w:t>[26] R.A. Becker, Local environmental regulation and plant-level productivity, Ecological Economics 70(12) (2011) 2516-2522.</w:t>
      </w:r>
    </w:p>
    <w:p w14:paraId="182F8834" w14:textId="77777777" w:rsidR="00A103A9" w:rsidRPr="00A103A9" w:rsidRDefault="00A103A9" w:rsidP="00A103A9">
      <w:pPr>
        <w:pStyle w:val="EndNoteBibliography"/>
      </w:pPr>
      <w:r w:rsidRPr="00A103A9">
        <w:t>[27] L.-F. Hou, S.-P. Gao, L.-L. Chang, Y.-P. Wu, G.-L. Feng, Z. Wang, G.-Q. Sun, Vegetation restoration strategies in arid or semi-arid regions—From the perspective of optimal control, Chaos: An Interdisciplinary Journal of Nonlinear Science 34(11) (2024).</w:t>
      </w:r>
    </w:p>
    <w:p w14:paraId="083CBE5C" w14:textId="77777777" w:rsidR="00A103A9" w:rsidRPr="00A103A9" w:rsidRDefault="00A103A9" w:rsidP="00A103A9">
      <w:pPr>
        <w:pStyle w:val="EndNoteBibliography"/>
      </w:pPr>
      <w:r w:rsidRPr="00A103A9">
        <w:t>[28] Z. Zhao, S. Li, J. Liu, J. Peng, Y. Wang, The distance decay of similarity in climate variation and vegetation dynamics, Environmental Earth Sciences 73(8) (2015) 4659-4670.</w:t>
      </w:r>
    </w:p>
    <w:p w14:paraId="4C10AD16" w14:textId="77777777" w:rsidR="00A103A9" w:rsidRPr="00A103A9" w:rsidRDefault="00A103A9" w:rsidP="00A103A9">
      <w:pPr>
        <w:pStyle w:val="EndNoteBibliography"/>
      </w:pPr>
      <w:r w:rsidRPr="00A103A9">
        <w:t>[29] E.G. Rowland-Schaefer, On the Ground and From Above: A Multi-factor Analysis of the Direct and Indirect Drivers of Tallgrass Prairie Small Mammal Communities, Northern Illinois University2024.</w:t>
      </w:r>
    </w:p>
    <w:p w14:paraId="4F7DEA15" w14:textId="77777777" w:rsidR="00A103A9" w:rsidRPr="00A103A9" w:rsidRDefault="00A103A9" w:rsidP="00A103A9">
      <w:pPr>
        <w:pStyle w:val="EndNoteBibliography"/>
      </w:pPr>
      <w:r w:rsidRPr="00A103A9">
        <w:t>[30] Y. Yao, Y. Liu, S. Zhou, J. Song, B. Fu, Soil moisture determines the recovery time of ecosystems from drought, Global Change Biology 29(13) (2023) 3562-3574.</w:t>
      </w:r>
    </w:p>
    <w:p w14:paraId="4641A070" w14:textId="77777777" w:rsidR="00A103A9" w:rsidRPr="00A103A9" w:rsidRDefault="00A103A9" w:rsidP="00A103A9">
      <w:pPr>
        <w:pStyle w:val="EndNoteBibliography"/>
      </w:pPr>
      <w:r w:rsidRPr="00A103A9">
        <w:t>[31] S.P. Hardegree, J.M. Schneider, C.A. Moffet, Weather variability and adaptive management for rangeland restoration, Rangelands 34(6) (2012) 53-56.</w:t>
      </w:r>
    </w:p>
    <w:p w14:paraId="20312256" w14:textId="2C8A072A" w:rsidR="00FC4262" w:rsidRPr="00FF7989" w:rsidRDefault="00ED56F0" w:rsidP="00FC4262">
      <w:r>
        <w:fldChar w:fldCharType="end"/>
      </w:r>
    </w:p>
    <w:sectPr w:rsidR="00FC4262" w:rsidRPr="00FF7989">
      <w:footerReference w:type="default" r:id="rId2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4129" w14:textId="77777777" w:rsidR="00DB40DD" w:rsidRDefault="00DB40DD" w:rsidP="00FC4262">
      <w:r>
        <w:separator/>
      </w:r>
    </w:p>
  </w:endnote>
  <w:endnote w:type="continuationSeparator" w:id="0">
    <w:p w14:paraId="3625B1C2" w14:textId="77777777" w:rsidR="00DB40DD" w:rsidRDefault="00DB40DD" w:rsidP="00FC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715657"/>
      <w:docPartObj>
        <w:docPartGallery w:val="Page Numbers (Bottom of Page)"/>
        <w:docPartUnique/>
      </w:docPartObj>
    </w:sdtPr>
    <w:sdtContent>
      <w:p w14:paraId="68DDC3D2" w14:textId="5AFE7057" w:rsidR="00EE789E" w:rsidRDefault="00EE789E">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1A41EB42" w14:textId="77777777" w:rsidR="00EE789E" w:rsidRDefault="00EE78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BEAB6" w14:textId="77777777" w:rsidR="00DB40DD" w:rsidRDefault="00DB40DD" w:rsidP="00FC4262">
      <w:r>
        <w:separator/>
      </w:r>
    </w:p>
  </w:footnote>
  <w:footnote w:type="continuationSeparator" w:id="0">
    <w:p w14:paraId="5225CC16" w14:textId="77777777" w:rsidR="00DB40DD" w:rsidRDefault="00DB40DD" w:rsidP="00FC4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525"/>
    <w:multiLevelType w:val="multilevel"/>
    <w:tmpl w:val="54EC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17DE2"/>
    <w:multiLevelType w:val="multilevel"/>
    <w:tmpl w:val="321C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E2806"/>
    <w:multiLevelType w:val="multilevel"/>
    <w:tmpl w:val="2CC8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71127"/>
    <w:multiLevelType w:val="multilevel"/>
    <w:tmpl w:val="91CC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84F02"/>
    <w:multiLevelType w:val="multilevel"/>
    <w:tmpl w:val="9A82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D4895"/>
    <w:multiLevelType w:val="multilevel"/>
    <w:tmpl w:val="9E32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70E28"/>
    <w:multiLevelType w:val="multilevel"/>
    <w:tmpl w:val="9EFE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54B4F"/>
    <w:multiLevelType w:val="multilevel"/>
    <w:tmpl w:val="BD6E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E7831"/>
    <w:multiLevelType w:val="multilevel"/>
    <w:tmpl w:val="7810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2A03B9"/>
    <w:multiLevelType w:val="multilevel"/>
    <w:tmpl w:val="F3A2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D1D4D"/>
    <w:multiLevelType w:val="multilevel"/>
    <w:tmpl w:val="9E2E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55221"/>
    <w:multiLevelType w:val="multilevel"/>
    <w:tmpl w:val="E368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E39E2"/>
    <w:multiLevelType w:val="multilevel"/>
    <w:tmpl w:val="AF6A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F30DA"/>
    <w:multiLevelType w:val="multilevel"/>
    <w:tmpl w:val="BBDA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E1541F"/>
    <w:multiLevelType w:val="multilevel"/>
    <w:tmpl w:val="F1EA3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13904"/>
    <w:multiLevelType w:val="multilevel"/>
    <w:tmpl w:val="3B24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A6572F"/>
    <w:multiLevelType w:val="multilevel"/>
    <w:tmpl w:val="D380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670891"/>
    <w:multiLevelType w:val="multilevel"/>
    <w:tmpl w:val="BF4E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314F16"/>
    <w:multiLevelType w:val="multilevel"/>
    <w:tmpl w:val="9F78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8D3318"/>
    <w:multiLevelType w:val="multilevel"/>
    <w:tmpl w:val="96F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4C6623"/>
    <w:multiLevelType w:val="multilevel"/>
    <w:tmpl w:val="545C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6A0E2A"/>
    <w:multiLevelType w:val="multilevel"/>
    <w:tmpl w:val="4C98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9C53C1"/>
    <w:multiLevelType w:val="multilevel"/>
    <w:tmpl w:val="BDA8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514E75"/>
    <w:multiLevelType w:val="multilevel"/>
    <w:tmpl w:val="3FEC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483173"/>
    <w:multiLevelType w:val="multilevel"/>
    <w:tmpl w:val="8EE2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F558B4"/>
    <w:multiLevelType w:val="multilevel"/>
    <w:tmpl w:val="6916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111C1D"/>
    <w:multiLevelType w:val="multilevel"/>
    <w:tmpl w:val="893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9938FA"/>
    <w:multiLevelType w:val="multilevel"/>
    <w:tmpl w:val="03B0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FF63CC"/>
    <w:multiLevelType w:val="multilevel"/>
    <w:tmpl w:val="AA42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578574">
    <w:abstractNumId w:val="25"/>
  </w:num>
  <w:num w:numId="2" w16cid:durableId="42798726">
    <w:abstractNumId w:val="27"/>
  </w:num>
  <w:num w:numId="3" w16cid:durableId="1792282909">
    <w:abstractNumId w:val="14"/>
  </w:num>
  <w:num w:numId="4" w16cid:durableId="1105424034">
    <w:abstractNumId w:val="6"/>
  </w:num>
  <w:num w:numId="5" w16cid:durableId="1525482297">
    <w:abstractNumId w:val="20"/>
  </w:num>
  <w:num w:numId="6" w16cid:durableId="406460915">
    <w:abstractNumId w:val="13"/>
  </w:num>
  <w:num w:numId="7" w16cid:durableId="1175192738">
    <w:abstractNumId w:val="11"/>
  </w:num>
  <w:num w:numId="8" w16cid:durableId="227083481">
    <w:abstractNumId w:val="26"/>
  </w:num>
  <w:num w:numId="9" w16cid:durableId="1760175055">
    <w:abstractNumId w:val="1"/>
  </w:num>
  <w:num w:numId="10" w16cid:durableId="1973516158">
    <w:abstractNumId w:val="9"/>
  </w:num>
  <w:num w:numId="11" w16cid:durableId="1277566486">
    <w:abstractNumId w:val="3"/>
  </w:num>
  <w:num w:numId="12" w16cid:durableId="759983117">
    <w:abstractNumId w:val="16"/>
  </w:num>
  <w:num w:numId="13" w16cid:durableId="1097486685">
    <w:abstractNumId w:val="8"/>
  </w:num>
  <w:num w:numId="14" w16cid:durableId="1084643442">
    <w:abstractNumId w:val="4"/>
  </w:num>
  <w:num w:numId="15" w16cid:durableId="1561402646">
    <w:abstractNumId w:val="15"/>
  </w:num>
  <w:num w:numId="16" w16cid:durableId="250895924">
    <w:abstractNumId w:val="7"/>
  </w:num>
  <w:num w:numId="17" w16cid:durableId="435826456">
    <w:abstractNumId w:val="2"/>
  </w:num>
  <w:num w:numId="18" w16cid:durableId="1166284885">
    <w:abstractNumId w:val="0"/>
  </w:num>
  <w:num w:numId="19" w16cid:durableId="1749375516">
    <w:abstractNumId w:val="24"/>
  </w:num>
  <w:num w:numId="20" w16cid:durableId="684090226">
    <w:abstractNumId w:val="23"/>
  </w:num>
  <w:num w:numId="21" w16cid:durableId="1745686823">
    <w:abstractNumId w:val="19"/>
  </w:num>
  <w:num w:numId="22" w16cid:durableId="1583680135">
    <w:abstractNumId w:val="17"/>
  </w:num>
  <w:num w:numId="23" w16cid:durableId="228421496">
    <w:abstractNumId w:val="18"/>
  </w:num>
  <w:num w:numId="24" w16cid:durableId="1592590844">
    <w:abstractNumId w:val="22"/>
  </w:num>
  <w:num w:numId="25" w16cid:durableId="965115257">
    <w:abstractNumId w:val="5"/>
  </w:num>
  <w:num w:numId="26" w16cid:durableId="741754967">
    <w:abstractNumId w:val="28"/>
  </w:num>
  <w:num w:numId="27" w16cid:durableId="155461912">
    <w:abstractNumId w:val="21"/>
  </w:num>
  <w:num w:numId="28" w16cid:durableId="850989659">
    <w:abstractNumId w:val="10"/>
  </w:num>
  <w:num w:numId="29" w16cid:durableId="282855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aterials Science Eng A&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r5etsptzafvkews50vf091przvpwxsvt0x&quot;&gt;我的EndNote数据库&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record-ids&gt;&lt;/item&gt;&lt;/Libraries&gt;"/>
  </w:docVars>
  <w:rsids>
    <w:rsidRoot w:val="00CC0DA0"/>
    <w:rsid w:val="00013A04"/>
    <w:rsid w:val="00064BA4"/>
    <w:rsid w:val="000A037D"/>
    <w:rsid w:val="00125FFD"/>
    <w:rsid w:val="00172841"/>
    <w:rsid w:val="00190319"/>
    <w:rsid w:val="002053E7"/>
    <w:rsid w:val="00286281"/>
    <w:rsid w:val="002D61EC"/>
    <w:rsid w:val="0036721D"/>
    <w:rsid w:val="003D2037"/>
    <w:rsid w:val="00422B10"/>
    <w:rsid w:val="004A2EA4"/>
    <w:rsid w:val="00523E37"/>
    <w:rsid w:val="00584C3D"/>
    <w:rsid w:val="005A5E9B"/>
    <w:rsid w:val="006B0871"/>
    <w:rsid w:val="00727689"/>
    <w:rsid w:val="007456F3"/>
    <w:rsid w:val="007C46F9"/>
    <w:rsid w:val="007F364D"/>
    <w:rsid w:val="00810E41"/>
    <w:rsid w:val="008E04E4"/>
    <w:rsid w:val="00961F88"/>
    <w:rsid w:val="00A103A9"/>
    <w:rsid w:val="00A71ECC"/>
    <w:rsid w:val="00B152B2"/>
    <w:rsid w:val="00B33BD9"/>
    <w:rsid w:val="00B82309"/>
    <w:rsid w:val="00BE1F92"/>
    <w:rsid w:val="00C02F33"/>
    <w:rsid w:val="00CC0DA0"/>
    <w:rsid w:val="00DB40DD"/>
    <w:rsid w:val="00E417E7"/>
    <w:rsid w:val="00E52C40"/>
    <w:rsid w:val="00EA6AAB"/>
    <w:rsid w:val="00ED56F0"/>
    <w:rsid w:val="00ED75D1"/>
    <w:rsid w:val="00EE789E"/>
    <w:rsid w:val="00F003CC"/>
    <w:rsid w:val="00F132D0"/>
    <w:rsid w:val="00FA4DED"/>
    <w:rsid w:val="00FC4262"/>
    <w:rsid w:val="00FC48BE"/>
    <w:rsid w:val="00FF29E1"/>
    <w:rsid w:val="00FF7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5D286"/>
  <w15:chartTrackingRefBased/>
  <w15:docId w15:val="{57A87552-4D71-4026-A13F-BE9D203F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262"/>
    <w:pPr>
      <w:widowControl w:val="0"/>
      <w:jc w:val="both"/>
    </w:pPr>
    <w:rPr>
      <w:rFonts w:ascii="Times New Roman" w:eastAsia="宋体" w:hAnsi="Times New Roman"/>
    </w:rPr>
  </w:style>
  <w:style w:type="paragraph" w:styleId="1">
    <w:name w:val="heading 1"/>
    <w:basedOn w:val="a"/>
    <w:next w:val="a"/>
    <w:link w:val="10"/>
    <w:uiPriority w:val="9"/>
    <w:qFormat/>
    <w:rsid w:val="00FC4262"/>
    <w:pPr>
      <w:keepNext/>
      <w:keepLines/>
      <w:spacing w:before="340" w:after="330" w:line="578" w:lineRule="auto"/>
      <w:jc w:val="center"/>
      <w:outlineLvl w:val="0"/>
    </w:pPr>
    <w:rPr>
      <w:b/>
      <w:bCs/>
      <w:kern w:val="44"/>
      <w:sz w:val="44"/>
      <w:szCs w:val="44"/>
    </w:rPr>
  </w:style>
  <w:style w:type="paragraph" w:styleId="2">
    <w:name w:val="heading 2"/>
    <w:basedOn w:val="a"/>
    <w:next w:val="a"/>
    <w:link w:val="20"/>
    <w:autoRedefine/>
    <w:uiPriority w:val="9"/>
    <w:unhideWhenUsed/>
    <w:qFormat/>
    <w:rsid w:val="00FC4262"/>
    <w:pPr>
      <w:keepNext/>
      <w:keepLines/>
      <w:outlineLvl w:val="1"/>
    </w:pPr>
    <w:rPr>
      <w:rFonts w:cstheme="majorBidi"/>
      <w:b/>
      <w:bCs/>
      <w:sz w:val="32"/>
      <w:szCs w:val="32"/>
    </w:rPr>
  </w:style>
  <w:style w:type="paragraph" w:styleId="3">
    <w:name w:val="heading 3"/>
    <w:basedOn w:val="a"/>
    <w:next w:val="a"/>
    <w:link w:val="30"/>
    <w:uiPriority w:val="9"/>
    <w:unhideWhenUsed/>
    <w:qFormat/>
    <w:rsid w:val="00FC4262"/>
    <w:pPr>
      <w:keepNext/>
      <w:keepLines/>
      <w:outlineLvl w:val="2"/>
    </w:pPr>
    <w:rPr>
      <w:b/>
      <w:bCs/>
      <w:sz w:val="32"/>
      <w:szCs w:val="32"/>
    </w:rPr>
  </w:style>
  <w:style w:type="paragraph" w:styleId="4">
    <w:name w:val="heading 4"/>
    <w:basedOn w:val="a"/>
    <w:next w:val="a"/>
    <w:link w:val="40"/>
    <w:uiPriority w:val="9"/>
    <w:unhideWhenUsed/>
    <w:qFormat/>
    <w:rsid w:val="00FC426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4262"/>
    <w:rPr>
      <w:rFonts w:ascii="Times New Roman" w:eastAsia="宋体" w:hAnsi="Times New Roman"/>
      <w:b/>
      <w:bCs/>
      <w:kern w:val="44"/>
      <w:sz w:val="44"/>
      <w:szCs w:val="44"/>
    </w:rPr>
  </w:style>
  <w:style w:type="character" w:customStyle="1" w:styleId="20">
    <w:name w:val="标题 2 字符"/>
    <w:basedOn w:val="a0"/>
    <w:link w:val="2"/>
    <w:uiPriority w:val="9"/>
    <w:rsid w:val="00FC4262"/>
    <w:rPr>
      <w:rFonts w:ascii="Times New Roman" w:eastAsia="宋体" w:hAnsi="Times New Roman" w:cstheme="majorBidi"/>
      <w:b/>
      <w:bCs/>
      <w:sz w:val="32"/>
      <w:szCs w:val="32"/>
    </w:rPr>
  </w:style>
  <w:style w:type="paragraph" w:customStyle="1" w:styleId="MTDisplayEquation">
    <w:name w:val="MTDisplayEquation"/>
    <w:basedOn w:val="a3"/>
    <w:next w:val="a"/>
    <w:qFormat/>
    <w:rsid w:val="00422B10"/>
    <w:pPr>
      <w:tabs>
        <w:tab w:val="center" w:pos="4160"/>
        <w:tab w:val="right" w:pos="8300"/>
      </w:tabs>
      <w:jc w:val="left"/>
    </w:pPr>
    <w:rPr>
      <w:kern w:val="0"/>
    </w:rPr>
  </w:style>
  <w:style w:type="paragraph" w:styleId="a3">
    <w:name w:val="Normal (Web)"/>
    <w:basedOn w:val="a"/>
    <w:uiPriority w:val="99"/>
    <w:semiHidden/>
    <w:unhideWhenUsed/>
    <w:rsid w:val="00FA4DED"/>
    <w:rPr>
      <w:rFonts w:cs="Times New Roman"/>
      <w:sz w:val="24"/>
      <w:szCs w:val="24"/>
    </w:rPr>
  </w:style>
  <w:style w:type="table" w:customStyle="1" w:styleId="11">
    <w:name w:val="样式1"/>
    <w:basedOn w:val="a1"/>
    <w:uiPriority w:val="99"/>
    <w:rsid w:val="00125FFD"/>
    <w:rPr>
      <w:rFonts w:ascii="Times New Roman" w:eastAsia="宋体" w:hAnsi="Times New Roman" w:cs="Times New Roman"/>
      <w:kern w:val="0"/>
      <w:sz w:val="20"/>
      <w:szCs w:val="20"/>
    </w:rPr>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styleId="a4">
    <w:name w:val="header"/>
    <w:basedOn w:val="a"/>
    <w:link w:val="a5"/>
    <w:uiPriority w:val="99"/>
    <w:unhideWhenUsed/>
    <w:rsid w:val="00FC426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C4262"/>
    <w:rPr>
      <w:sz w:val="18"/>
      <w:szCs w:val="18"/>
    </w:rPr>
  </w:style>
  <w:style w:type="paragraph" w:styleId="a6">
    <w:name w:val="footer"/>
    <w:basedOn w:val="a"/>
    <w:link w:val="a7"/>
    <w:uiPriority w:val="99"/>
    <w:unhideWhenUsed/>
    <w:rsid w:val="00FC4262"/>
    <w:pPr>
      <w:tabs>
        <w:tab w:val="center" w:pos="4153"/>
        <w:tab w:val="right" w:pos="8306"/>
      </w:tabs>
      <w:snapToGrid w:val="0"/>
      <w:jc w:val="left"/>
    </w:pPr>
    <w:rPr>
      <w:sz w:val="18"/>
      <w:szCs w:val="18"/>
    </w:rPr>
  </w:style>
  <w:style w:type="character" w:customStyle="1" w:styleId="a7">
    <w:name w:val="页脚 字符"/>
    <w:basedOn w:val="a0"/>
    <w:link w:val="a6"/>
    <w:uiPriority w:val="99"/>
    <w:rsid w:val="00FC4262"/>
    <w:rPr>
      <w:sz w:val="18"/>
      <w:szCs w:val="18"/>
    </w:rPr>
  </w:style>
  <w:style w:type="character" w:customStyle="1" w:styleId="30">
    <w:name w:val="标题 3 字符"/>
    <w:basedOn w:val="a0"/>
    <w:link w:val="3"/>
    <w:uiPriority w:val="9"/>
    <w:rsid w:val="00FC4262"/>
    <w:rPr>
      <w:rFonts w:ascii="Times New Roman" w:eastAsia="宋体" w:hAnsi="Times New Roman"/>
      <w:b/>
      <w:bCs/>
      <w:sz w:val="32"/>
      <w:szCs w:val="32"/>
    </w:rPr>
  </w:style>
  <w:style w:type="character" w:customStyle="1" w:styleId="40">
    <w:name w:val="标题 4 字符"/>
    <w:basedOn w:val="a0"/>
    <w:link w:val="4"/>
    <w:uiPriority w:val="9"/>
    <w:rsid w:val="00FC4262"/>
    <w:rPr>
      <w:rFonts w:asciiTheme="majorHAnsi" w:eastAsiaTheme="majorEastAsia" w:hAnsiTheme="majorHAnsi" w:cstheme="majorBidi"/>
      <w:b/>
      <w:bCs/>
      <w:sz w:val="28"/>
      <w:szCs w:val="28"/>
    </w:rPr>
  </w:style>
  <w:style w:type="character" w:styleId="a8">
    <w:name w:val="Strong"/>
    <w:basedOn w:val="a0"/>
    <w:uiPriority w:val="22"/>
    <w:qFormat/>
    <w:rsid w:val="00FC4262"/>
    <w:rPr>
      <w:b/>
      <w:bCs/>
    </w:rPr>
  </w:style>
  <w:style w:type="paragraph" w:customStyle="1" w:styleId="whitespace-normal">
    <w:name w:val="whitespace-normal"/>
    <w:basedOn w:val="a"/>
    <w:rsid w:val="00FC4262"/>
    <w:pPr>
      <w:widowControl/>
      <w:spacing w:before="100" w:beforeAutospacing="1" w:after="100" w:afterAutospacing="1"/>
      <w:jc w:val="left"/>
    </w:pPr>
    <w:rPr>
      <w:rFonts w:ascii="宋体" w:hAnsi="宋体" w:cs="宋体"/>
      <w:kern w:val="0"/>
      <w:sz w:val="24"/>
      <w:szCs w:val="24"/>
    </w:rPr>
  </w:style>
  <w:style w:type="character" w:styleId="a9">
    <w:name w:val="Emphasis"/>
    <w:basedOn w:val="a0"/>
    <w:uiPriority w:val="20"/>
    <w:qFormat/>
    <w:rsid w:val="00B33BD9"/>
    <w:rPr>
      <w:i/>
      <w:iCs/>
    </w:rPr>
  </w:style>
  <w:style w:type="character" w:customStyle="1" w:styleId="MTEquationSection">
    <w:name w:val="MTEquationSection"/>
    <w:basedOn w:val="a0"/>
    <w:rsid w:val="00422B10"/>
    <w:rPr>
      <w:vanish/>
      <w:color w:val="FF0000"/>
    </w:rPr>
  </w:style>
  <w:style w:type="paragraph" w:styleId="HTML">
    <w:name w:val="HTML Preformatted"/>
    <w:basedOn w:val="a"/>
    <w:link w:val="HTML0"/>
    <w:uiPriority w:val="99"/>
    <w:semiHidden/>
    <w:unhideWhenUsed/>
    <w:rsid w:val="002053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semiHidden/>
    <w:rsid w:val="002053E7"/>
    <w:rPr>
      <w:rFonts w:ascii="宋体" w:eastAsia="宋体" w:hAnsi="宋体" w:cs="宋体"/>
      <w:kern w:val="0"/>
      <w:sz w:val="24"/>
      <w:szCs w:val="24"/>
    </w:rPr>
  </w:style>
  <w:style w:type="character" w:styleId="HTML1">
    <w:name w:val="HTML Code"/>
    <w:basedOn w:val="a0"/>
    <w:uiPriority w:val="99"/>
    <w:semiHidden/>
    <w:unhideWhenUsed/>
    <w:rsid w:val="002053E7"/>
    <w:rPr>
      <w:rFonts w:ascii="宋体" w:eastAsia="宋体" w:hAnsi="宋体" w:cs="宋体"/>
      <w:sz w:val="24"/>
      <w:szCs w:val="24"/>
    </w:rPr>
  </w:style>
  <w:style w:type="paragraph" w:customStyle="1" w:styleId="EndNoteBibliographyTitle">
    <w:name w:val="EndNote Bibliography Title"/>
    <w:basedOn w:val="a"/>
    <w:link w:val="EndNoteBibliographyTitle0"/>
    <w:rsid w:val="00ED56F0"/>
    <w:pPr>
      <w:jc w:val="center"/>
    </w:pPr>
    <w:rPr>
      <w:rFonts w:cs="Times New Roman"/>
      <w:noProof/>
      <w:sz w:val="20"/>
    </w:rPr>
  </w:style>
  <w:style w:type="character" w:customStyle="1" w:styleId="EndNoteBibliographyTitle0">
    <w:name w:val="EndNote Bibliography Title 字符"/>
    <w:basedOn w:val="a0"/>
    <w:link w:val="EndNoteBibliographyTitle"/>
    <w:rsid w:val="00ED56F0"/>
    <w:rPr>
      <w:rFonts w:ascii="Times New Roman" w:eastAsia="宋体" w:hAnsi="Times New Roman" w:cs="Times New Roman"/>
      <w:noProof/>
      <w:sz w:val="20"/>
    </w:rPr>
  </w:style>
  <w:style w:type="paragraph" w:customStyle="1" w:styleId="EndNoteBibliography">
    <w:name w:val="EndNote Bibliography"/>
    <w:basedOn w:val="a"/>
    <w:link w:val="EndNoteBibliography0"/>
    <w:rsid w:val="00ED56F0"/>
    <w:rPr>
      <w:rFonts w:cs="Times New Roman"/>
      <w:noProof/>
      <w:sz w:val="20"/>
    </w:rPr>
  </w:style>
  <w:style w:type="character" w:customStyle="1" w:styleId="EndNoteBibliography0">
    <w:name w:val="EndNote Bibliography 字符"/>
    <w:basedOn w:val="a0"/>
    <w:link w:val="EndNoteBibliography"/>
    <w:rsid w:val="00ED56F0"/>
    <w:rPr>
      <w:rFonts w:ascii="Times New Roman" w:eastAsia="宋体" w:hAnsi="Times New Roman" w:cs="Times New Roman"/>
      <w:noProof/>
      <w:sz w:val="20"/>
    </w:rPr>
  </w:style>
  <w:style w:type="character" w:styleId="aa">
    <w:name w:val="Hyperlink"/>
    <w:basedOn w:val="a0"/>
    <w:uiPriority w:val="99"/>
    <w:unhideWhenUsed/>
    <w:rsid w:val="00E52C40"/>
    <w:rPr>
      <w:color w:val="0563C1" w:themeColor="hyperlink"/>
      <w:u w:val="single"/>
    </w:rPr>
  </w:style>
  <w:style w:type="character" w:styleId="ab">
    <w:name w:val="Unresolved Mention"/>
    <w:basedOn w:val="a0"/>
    <w:uiPriority w:val="99"/>
    <w:semiHidden/>
    <w:unhideWhenUsed/>
    <w:rsid w:val="00E52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055">
      <w:bodyDiv w:val="1"/>
      <w:marLeft w:val="0"/>
      <w:marRight w:val="0"/>
      <w:marTop w:val="0"/>
      <w:marBottom w:val="0"/>
      <w:divBdr>
        <w:top w:val="none" w:sz="0" w:space="0" w:color="auto"/>
        <w:left w:val="none" w:sz="0" w:space="0" w:color="auto"/>
        <w:bottom w:val="none" w:sz="0" w:space="0" w:color="auto"/>
        <w:right w:val="none" w:sz="0" w:space="0" w:color="auto"/>
      </w:divBdr>
    </w:div>
    <w:div w:id="131948736">
      <w:bodyDiv w:val="1"/>
      <w:marLeft w:val="0"/>
      <w:marRight w:val="0"/>
      <w:marTop w:val="0"/>
      <w:marBottom w:val="0"/>
      <w:divBdr>
        <w:top w:val="none" w:sz="0" w:space="0" w:color="auto"/>
        <w:left w:val="none" w:sz="0" w:space="0" w:color="auto"/>
        <w:bottom w:val="none" w:sz="0" w:space="0" w:color="auto"/>
        <w:right w:val="none" w:sz="0" w:space="0" w:color="auto"/>
      </w:divBdr>
      <w:divsChild>
        <w:div w:id="2121290277">
          <w:marLeft w:val="0"/>
          <w:marRight w:val="0"/>
          <w:marTop w:val="0"/>
          <w:marBottom w:val="0"/>
          <w:divBdr>
            <w:top w:val="none" w:sz="0" w:space="0" w:color="auto"/>
            <w:left w:val="none" w:sz="0" w:space="0" w:color="auto"/>
            <w:bottom w:val="none" w:sz="0" w:space="0" w:color="auto"/>
            <w:right w:val="none" w:sz="0" w:space="0" w:color="auto"/>
          </w:divBdr>
          <w:divsChild>
            <w:div w:id="6543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673">
      <w:bodyDiv w:val="1"/>
      <w:marLeft w:val="0"/>
      <w:marRight w:val="0"/>
      <w:marTop w:val="0"/>
      <w:marBottom w:val="0"/>
      <w:divBdr>
        <w:top w:val="none" w:sz="0" w:space="0" w:color="auto"/>
        <w:left w:val="none" w:sz="0" w:space="0" w:color="auto"/>
        <w:bottom w:val="none" w:sz="0" w:space="0" w:color="auto"/>
        <w:right w:val="none" w:sz="0" w:space="0" w:color="auto"/>
      </w:divBdr>
    </w:div>
    <w:div w:id="383987089">
      <w:bodyDiv w:val="1"/>
      <w:marLeft w:val="0"/>
      <w:marRight w:val="0"/>
      <w:marTop w:val="0"/>
      <w:marBottom w:val="0"/>
      <w:divBdr>
        <w:top w:val="none" w:sz="0" w:space="0" w:color="auto"/>
        <w:left w:val="none" w:sz="0" w:space="0" w:color="auto"/>
        <w:bottom w:val="none" w:sz="0" w:space="0" w:color="auto"/>
        <w:right w:val="none" w:sz="0" w:space="0" w:color="auto"/>
      </w:divBdr>
    </w:div>
    <w:div w:id="400493723">
      <w:bodyDiv w:val="1"/>
      <w:marLeft w:val="0"/>
      <w:marRight w:val="0"/>
      <w:marTop w:val="0"/>
      <w:marBottom w:val="0"/>
      <w:divBdr>
        <w:top w:val="none" w:sz="0" w:space="0" w:color="auto"/>
        <w:left w:val="none" w:sz="0" w:space="0" w:color="auto"/>
        <w:bottom w:val="none" w:sz="0" w:space="0" w:color="auto"/>
        <w:right w:val="none" w:sz="0" w:space="0" w:color="auto"/>
      </w:divBdr>
    </w:div>
    <w:div w:id="452019066">
      <w:bodyDiv w:val="1"/>
      <w:marLeft w:val="0"/>
      <w:marRight w:val="0"/>
      <w:marTop w:val="0"/>
      <w:marBottom w:val="0"/>
      <w:divBdr>
        <w:top w:val="none" w:sz="0" w:space="0" w:color="auto"/>
        <w:left w:val="none" w:sz="0" w:space="0" w:color="auto"/>
        <w:bottom w:val="none" w:sz="0" w:space="0" w:color="auto"/>
        <w:right w:val="none" w:sz="0" w:space="0" w:color="auto"/>
      </w:divBdr>
    </w:div>
    <w:div w:id="743064308">
      <w:bodyDiv w:val="1"/>
      <w:marLeft w:val="0"/>
      <w:marRight w:val="0"/>
      <w:marTop w:val="0"/>
      <w:marBottom w:val="0"/>
      <w:divBdr>
        <w:top w:val="none" w:sz="0" w:space="0" w:color="auto"/>
        <w:left w:val="none" w:sz="0" w:space="0" w:color="auto"/>
        <w:bottom w:val="none" w:sz="0" w:space="0" w:color="auto"/>
        <w:right w:val="none" w:sz="0" w:space="0" w:color="auto"/>
      </w:divBdr>
    </w:div>
    <w:div w:id="759328666">
      <w:bodyDiv w:val="1"/>
      <w:marLeft w:val="0"/>
      <w:marRight w:val="0"/>
      <w:marTop w:val="0"/>
      <w:marBottom w:val="0"/>
      <w:divBdr>
        <w:top w:val="none" w:sz="0" w:space="0" w:color="auto"/>
        <w:left w:val="none" w:sz="0" w:space="0" w:color="auto"/>
        <w:bottom w:val="none" w:sz="0" w:space="0" w:color="auto"/>
        <w:right w:val="none" w:sz="0" w:space="0" w:color="auto"/>
      </w:divBdr>
    </w:div>
    <w:div w:id="873539797">
      <w:bodyDiv w:val="1"/>
      <w:marLeft w:val="0"/>
      <w:marRight w:val="0"/>
      <w:marTop w:val="0"/>
      <w:marBottom w:val="0"/>
      <w:divBdr>
        <w:top w:val="none" w:sz="0" w:space="0" w:color="auto"/>
        <w:left w:val="none" w:sz="0" w:space="0" w:color="auto"/>
        <w:bottom w:val="none" w:sz="0" w:space="0" w:color="auto"/>
        <w:right w:val="none" w:sz="0" w:space="0" w:color="auto"/>
      </w:divBdr>
    </w:div>
    <w:div w:id="876310447">
      <w:bodyDiv w:val="1"/>
      <w:marLeft w:val="0"/>
      <w:marRight w:val="0"/>
      <w:marTop w:val="0"/>
      <w:marBottom w:val="0"/>
      <w:divBdr>
        <w:top w:val="none" w:sz="0" w:space="0" w:color="auto"/>
        <w:left w:val="none" w:sz="0" w:space="0" w:color="auto"/>
        <w:bottom w:val="none" w:sz="0" w:space="0" w:color="auto"/>
        <w:right w:val="none" w:sz="0" w:space="0" w:color="auto"/>
      </w:divBdr>
    </w:div>
    <w:div w:id="891767296">
      <w:bodyDiv w:val="1"/>
      <w:marLeft w:val="0"/>
      <w:marRight w:val="0"/>
      <w:marTop w:val="0"/>
      <w:marBottom w:val="0"/>
      <w:divBdr>
        <w:top w:val="none" w:sz="0" w:space="0" w:color="auto"/>
        <w:left w:val="none" w:sz="0" w:space="0" w:color="auto"/>
        <w:bottom w:val="none" w:sz="0" w:space="0" w:color="auto"/>
        <w:right w:val="none" w:sz="0" w:space="0" w:color="auto"/>
      </w:divBdr>
    </w:div>
    <w:div w:id="966735662">
      <w:bodyDiv w:val="1"/>
      <w:marLeft w:val="0"/>
      <w:marRight w:val="0"/>
      <w:marTop w:val="0"/>
      <w:marBottom w:val="0"/>
      <w:divBdr>
        <w:top w:val="none" w:sz="0" w:space="0" w:color="auto"/>
        <w:left w:val="none" w:sz="0" w:space="0" w:color="auto"/>
        <w:bottom w:val="none" w:sz="0" w:space="0" w:color="auto"/>
        <w:right w:val="none" w:sz="0" w:space="0" w:color="auto"/>
      </w:divBdr>
    </w:div>
    <w:div w:id="971447507">
      <w:bodyDiv w:val="1"/>
      <w:marLeft w:val="0"/>
      <w:marRight w:val="0"/>
      <w:marTop w:val="0"/>
      <w:marBottom w:val="0"/>
      <w:divBdr>
        <w:top w:val="none" w:sz="0" w:space="0" w:color="auto"/>
        <w:left w:val="none" w:sz="0" w:space="0" w:color="auto"/>
        <w:bottom w:val="none" w:sz="0" w:space="0" w:color="auto"/>
        <w:right w:val="none" w:sz="0" w:space="0" w:color="auto"/>
      </w:divBdr>
      <w:divsChild>
        <w:div w:id="408620188">
          <w:marLeft w:val="0"/>
          <w:marRight w:val="0"/>
          <w:marTop w:val="0"/>
          <w:marBottom w:val="0"/>
          <w:divBdr>
            <w:top w:val="none" w:sz="0" w:space="0" w:color="auto"/>
            <w:left w:val="none" w:sz="0" w:space="0" w:color="auto"/>
            <w:bottom w:val="none" w:sz="0" w:space="0" w:color="auto"/>
            <w:right w:val="none" w:sz="0" w:space="0" w:color="auto"/>
          </w:divBdr>
          <w:divsChild>
            <w:div w:id="19529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02042">
      <w:bodyDiv w:val="1"/>
      <w:marLeft w:val="0"/>
      <w:marRight w:val="0"/>
      <w:marTop w:val="0"/>
      <w:marBottom w:val="0"/>
      <w:divBdr>
        <w:top w:val="none" w:sz="0" w:space="0" w:color="auto"/>
        <w:left w:val="none" w:sz="0" w:space="0" w:color="auto"/>
        <w:bottom w:val="none" w:sz="0" w:space="0" w:color="auto"/>
        <w:right w:val="none" w:sz="0" w:space="0" w:color="auto"/>
      </w:divBdr>
    </w:div>
    <w:div w:id="1085417843">
      <w:bodyDiv w:val="1"/>
      <w:marLeft w:val="0"/>
      <w:marRight w:val="0"/>
      <w:marTop w:val="0"/>
      <w:marBottom w:val="0"/>
      <w:divBdr>
        <w:top w:val="none" w:sz="0" w:space="0" w:color="auto"/>
        <w:left w:val="none" w:sz="0" w:space="0" w:color="auto"/>
        <w:bottom w:val="none" w:sz="0" w:space="0" w:color="auto"/>
        <w:right w:val="none" w:sz="0" w:space="0" w:color="auto"/>
      </w:divBdr>
    </w:div>
    <w:div w:id="1159618357">
      <w:bodyDiv w:val="1"/>
      <w:marLeft w:val="0"/>
      <w:marRight w:val="0"/>
      <w:marTop w:val="0"/>
      <w:marBottom w:val="0"/>
      <w:divBdr>
        <w:top w:val="none" w:sz="0" w:space="0" w:color="auto"/>
        <w:left w:val="none" w:sz="0" w:space="0" w:color="auto"/>
        <w:bottom w:val="none" w:sz="0" w:space="0" w:color="auto"/>
        <w:right w:val="none" w:sz="0" w:space="0" w:color="auto"/>
      </w:divBdr>
    </w:div>
    <w:div w:id="1659649815">
      <w:bodyDiv w:val="1"/>
      <w:marLeft w:val="0"/>
      <w:marRight w:val="0"/>
      <w:marTop w:val="0"/>
      <w:marBottom w:val="0"/>
      <w:divBdr>
        <w:top w:val="none" w:sz="0" w:space="0" w:color="auto"/>
        <w:left w:val="none" w:sz="0" w:space="0" w:color="auto"/>
        <w:bottom w:val="none" w:sz="0" w:space="0" w:color="auto"/>
        <w:right w:val="none" w:sz="0" w:space="0" w:color="auto"/>
      </w:divBdr>
    </w:div>
    <w:div w:id="1677491943">
      <w:bodyDiv w:val="1"/>
      <w:marLeft w:val="0"/>
      <w:marRight w:val="0"/>
      <w:marTop w:val="0"/>
      <w:marBottom w:val="0"/>
      <w:divBdr>
        <w:top w:val="none" w:sz="0" w:space="0" w:color="auto"/>
        <w:left w:val="none" w:sz="0" w:space="0" w:color="auto"/>
        <w:bottom w:val="none" w:sz="0" w:space="0" w:color="auto"/>
        <w:right w:val="none" w:sz="0" w:space="0" w:color="auto"/>
      </w:divBdr>
    </w:div>
    <w:div w:id="1702054063">
      <w:bodyDiv w:val="1"/>
      <w:marLeft w:val="0"/>
      <w:marRight w:val="0"/>
      <w:marTop w:val="0"/>
      <w:marBottom w:val="0"/>
      <w:divBdr>
        <w:top w:val="none" w:sz="0" w:space="0" w:color="auto"/>
        <w:left w:val="none" w:sz="0" w:space="0" w:color="auto"/>
        <w:bottom w:val="none" w:sz="0" w:space="0" w:color="auto"/>
        <w:right w:val="none" w:sz="0" w:space="0" w:color="auto"/>
      </w:divBdr>
    </w:div>
    <w:div w:id="195751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5.wmf"/><Relationship Id="rId42" Type="http://schemas.openxmlformats.org/officeDocument/2006/relationships/oleObject" Target="embeddings/oleObject15.bin"/><Relationship Id="rId63" Type="http://schemas.openxmlformats.org/officeDocument/2006/relationships/image" Target="media/image26.wmf"/><Relationship Id="rId84" Type="http://schemas.openxmlformats.org/officeDocument/2006/relationships/oleObject" Target="embeddings/oleObject36.bin"/><Relationship Id="rId138" Type="http://schemas.openxmlformats.org/officeDocument/2006/relationships/image" Target="media/image64.svg"/><Relationship Id="rId159" Type="http://schemas.openxmlformats.org/officeDocument/2006/relationships/image" Target="media/image75.wmf"/><Relationship Id="rId170" Type="http://schemas.openxmlformats.org/officeDocument/2006/relationships/oleObject" Target="embeddings/oleObject78.bin"/><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oleObject" Target="embeddings/oleObject104.bin"/><Relationship Id="rId247" Type="http://schemas.openxmlformats.org/officeDocument/2006/relationships/image" Target="media/image130.emf"/><Relationship Id="rId107" Type="http://schemas.openxmlformats.org/officeDocument/2006/relationships/image" Target="media/image48.wmf"/><Relationship Id="rId11" Type="http://schemas.openxmlformats.org/officeDocument/2006/relationships/hyperlink" Target="mailto:wxl@ln.sgcc.com.cn" TargetMode="External"/><Relationship Id="rId32" Type="http://schemas.openxmlformats.org/officeDocument/2006/relationships/oleObject" Target="embeddings/oleObject10.bin"/><Relationship Id="rId53" Type="http://schemas.openxmlformats.org/officeDocument/2006/relationships/image" Target="media/image21.wmf"/><Relationship Id="rId74" Type="http://schemas.openxmlformats.org/officeDocument/2006/relationships/oleObject" Target="embeddings/oleObject31.bin"/><Relationship Id="rId128" Type="http://schemas.openxmlformats.org/officeDocument/2006/relationships/oleObject" Target="embeddings/oleObject58.bin"/><Relationship Id="rId149" Type="http://schemas.openxmlformats.org/officeDocument/2006/relationships/image" Target="media/image70.wmf"/><Relationship Id="rId5" Type="http://schemas.openxmlformats.org/officeDocument/2006/relationships/footnotes" Target="footnotes.xml"/><Relationship Id="rId95" Type="http://schemas.openxmlformats.org/officeDocument/2006/relationships/image" Target="media/image42.wmf"/><Relationship Id="rId160" Type="http://schemas.openxmlformats.org/officeDocument/2006/relationships/oleObject" Target="embeddings/oleObject73.bin"/><Relationship Id="rId181" Type="http://schemas.openxmlformats.org/officeDocument/2006/relationships/image" Target="media/image86.wmf"/><Relationship Id="rId216" Type="http://schemas.openxmlformats.org/officeDocument/2006/relationships/oleObject" Target="embeddings/oleObject101.bin"/><Relationship Id="rId237" Type="http://schemas.openxmlformats.org/officeDocument/2006/relationships/image" Target="media/image120.emf"/><Relationship Id="rId22" Type="http://schemas.openxmlformats.org/officeDocument/2006/relationships/oleObject" Target="embeddings/oleObject5.bin"/><Relationship Id="rId43" Type="http://schemas.openxmlformats.org/officeDocument/2006/relationships/image" Target="media/image16.wmf"/><Relationship Id="rId64" Type="http://schemas.openxmlformats.org/officeDocument/2006/relationships/oleObject" Target="embeddings/oleObject26.bin"/><Relationship Id="rId118" Type="http://schemas.openxmlformats.org/officeDocument/2006/relationships/oleObject" Target="embeddings/oleObject53.bin"/><Relationship Id="rId139" Type="http://schemas.openxmlformats.org/officeDocument/2006/relationships/image" Target="media/image65.wmf"/><Relationship Id="rId85" Type="http://schemas.openxmlformats.org/officeDocument/2006/relationships/image" Target="media/image37.wmf"/><Relationship Id="rId150" Type="http://schemas.openxmlformats.org/officeDocument/2006/relationships/oleObject" Target="embeddings/oleObject68.bin"/><Relationship Id="rId171" Type="http://schemas.openxmlformats.org/officeDocument/2006/relationships/image" Target="media/image81.wmf"/><Relationship Id="rId192" Type="http://schemas.openxmlformats.org/officeDocument/2006/relationships/oleObject" Target="embeddings/oleObject89.bin"/><Relationship Id="rId206" Type="http://schemas.openxmlformats.org/officeDocument/2006/relationships/oleObject" Target="embeddings/oleObject96.bin"/><Relationship Id="rId227" Type="http://schemas.openxmlformats.org/officeDocument/2006/relationships/image" Target="media/image111.wmf"/><Relationship Id="rId248" Type="http://schemas.openxmlformats.org/officeDocument/2006/relationships/image" Target="media/image131.emf"/><Relationship Id="rId12" Type="http://schemas.openxmlformats.org/officeDocument/2006/relationships/hyperlink" Target="mailto:xzy@ln.sgcc.com.cn" TargetMode="External"/><Relationship Id="rId33" Type="http://schemas.openxmlformats.org/officeDocument/2006/relationships/image" Target="media/image11.wmf"/><Relationship Id="rId108" Type="http://schemas.openxmlformats.org/officeDocument/2006/relationships/oleObject" Target="embeddings/oleObject48.bin"/><Relationship Id="rId129" Type="http://schemas.openxmlformats.org/officeDocument/2006/relationships/image" Target="media/image59.wmf"/><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2.bin"/><Relationship Id="rId140" Type="http://schemas.openxmlformats.org/officeDocument/2006/relationships/oleObject" Target="embeddings/oleObject63.bin"/><Relationship Id="rId145" Type="http://schemas.openxmlformats.org/officeDocument/2006/relationships/image" Target="media/image68.wmf"/><Relationship Id="rId161" Type="http://schemas.openxmlformats.org/officeDocument/2006/relationships/image" Target="media/image76.wmf"/><Relationship Id="rId166" Type="http://schemas.openxmlformats.org/officeDocument/2006/relationships/oleObject" Target="embeddings/oleObject76.bin"/><Relationship Id="rId182" Type="http://schemas.openxmlformats.org/officeDocument/2006/relationships/oleObject" Target="embeddings/oleObject84.bin"/><Relationship Id="rId187" Type="http://schemas.openxmlformats.org/officeDocument/2006/relationships/image" Target="media/image89.wmf"/><Relationship Id="rId217" Type="http://schemas.openxmlformats.org/officeDocument/2006/relationships/image" Target="media/image104.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99.bin"/><Relationship Id="rId233" Type="http://schemas.openxmlformats.org/officeDocument/2006/relationships/image" Target="media/image116.emf"/><Relationship Id="rId238" Type="http://schemas.openxmlformats.org/officeDocument/2006/relationships/image" Target="media/image121.emf"/><Relationship Id="rId254" Type="http://schemas.openxmlformats.org/officeDocument/2006/relationships/theme" Target="theme/theme1.xml"/><Relationship Id="rId23" Type="http://schemas.openxmlformats.org/officeDocument/2006/relationships/image" Target="media/image6.wmf"/><Relationship Id="rId28" Type="http://schemas.openxmlformats.org/officeDocument/2006/relationships/oleObject" Target="embeddings/oleObject8.bin"/><Relationship Id="rId49" Type="http://schemas.openxmlformats.org/officeDocument/2006/relationships/image" Target="media/image19.wmf"/><Relationship Id="rId114" Type="http://schemas.openxmlformats.org/officeDocument/2006/relationships/oleObject" Target="embeddings/oleObject51.bin"/><Relationship Id="rId119" Type="http://schemas.openxmlformats.org/officeDocument/2006/relationships/image" Target="media/image54.wmf"/><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image" Target="media/image27.wmf"/><Relationship Id="rId81" Type="http://schemas.openxmlformats.org/officeDocument/2006/relationships/image" Target="media/image35.wmf"/><Relationship Id="rId86" Type="http://schemas.openxmlformats.org/officeDocument/2006/relationships/oleObject" Target="embeddings/oleObject37.bin"/><Relationship Id="rId130" Type="http://schemas.openxmlformats.org/officeDocument/2006/relationships/oleObject" Target="embeddings/oleObject59.bin"/><Relationship Id="rId135" Type="http://schemas.openxmlformats.org/officeDocument/2006/relationships/image" Target="media/image62.wmf"/><Relationship Id="rId151" Type="http://schemas.openxmlformats.org/officeDocument/2006/relationships/image" Target="media/image71.wmf"/><Relationship Id="rId156" Type="http://schemas.openxmlformats.org/officeDocument/2006/relationships/oleObject" Target="embeddings/oleObject71.bin"/><Relationship Id="rId177" Type="http://schemas.openxmlformats.org/officeDocument/2006/relationships/image" Target="media/image84.wmf"/><Relationship Id="rId198" Type="http://schemas.openxmlformats.org/officeDocument/2006/relationships/oleObject" Target="embeddings/oleObject92.bin"/><Relationship Id="rId172" Type="http://schemas.openxmlformats.org/officeDocument/2006/relationships/oleObject" Target="embeddings/oleObject79.bin"/><Relationship Id="rId193" Type="http://schemas.openxmlformats.org/officeDocument/2006/relationships/image" Target="media/image92.wmf"/><Relationship Id="rId202" Type="http://schemas.openxmlformats.org/officeDocument/2006/relationships/oleObject" Target="embeddings/oleObject94.bin"/><Relationship Id="rId207" Type="http://schemas.openxmlformats.org/officeDocument/2006/relationships/image" Target="media/image99.wmf"/><Relationship Id="rId223" Type="http://schemas.openxmlformats.org/officeDocument/2006/relationships/image" Target="media/image108.emf"/><Relationship Id="rId228" Type="http://schemas.openxmlformats.org/officeDocument/2006/relationships/oleObject" Target="embeddings/oleObject105.bin"/><Relationship Id="rId244" Type="http://schemas.openxmlformats.org/officeDocument/2006/relationships/image" Target="media/image127.emf"/><Relationship Id="rId249" Type="http://schemas.openxmlformats.org/officeDocument/2006/relationships/image" Target="media/image132.emf"/><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image" Target="media/image49.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2.wmf"/><Relationship Id="rId76" Type="http://schemas.openxmlformats.org/officeDocument/2006/relationships/oleObject" Target="embeddings/oleObject32.bin"/><Relationship Id="rId97" Type="http://schemas.openxmlformats.org/officeDocument/2006/relationships/image" Target="media/image43.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57.wmf"/><Relationship Id="rId141" Type="http://schemas.openxmlformats.org/officeDocument/2006/relationships/image" Target="media/image66.wmf"/><Relationship Id="rId146" Type="http://schemas.openxmlformats.org/officeDocument/2006/relationships/oleObject" Target="embeddings/oleObject66.bin"/><Relationship Id="rId167" Type="http://schemas.openxmlformats.org/officeDocument/2006/relationships/image" Target="media/image79.wmf"/><Relationship Id="rId188" Type="http://schemas.openxmlformats.org/officeDocument/2006/relationships/oleObject" Target="embeddings/oleObject87.bin"/><Relationship Id="rId7" Type="http://schemas.openxmlformats.org/officeDocument/2006/relationships/hyperlink" Target="mailto:wanglei@ln.sgcc.com.cn" TargetMode="External"/><Relationship Id="rId71" Type="http://schemas.openxmlformats.org/officeDocument/2006/relationships/image" Target="media/image30.wmf"/><Relationship Id="rId92" Type="http://schemas.openxmlformats.org/officeDocument/2006/relationships/oleObject" Target="embeddings/oleObject40.bin"/><Relationship Id="rId162" Type="http://schemas.openxmlformats.org/officeDocument/2006/relationships/oleObject" Target="embeddings/oleObject74.bin"/><Relationship Id="rId183" Type="http://schemas.openxmlformats.org/officeDocument/2006/relationships/image" Target="media/image87.wmf"/><Relationship Id="rId213" Type="http://schemas.openxmlformats.org/officeDocument/2006/relationships/image" Target="media/image102.wmf"/><Relationship Id="rId218" Type="http://schemas.openxmlformats.org/officeDocument/2006/relationships/oleObject" Target="embeddings/oleObject102.bin"/><Relationship Id="rId234" Type="http://schemas.openxmlformats.org/officeDocument/2006/relationships/image" Target="media/image117.emf"/><Relationship Id="rId239" Type="http://schemas.openxmlformats.org/officeDocument/2006/relationships/image" Target="media/image122.emf"/><Relationship Id="rId2" Type="http://schemas.openxmlformats.org/officeDocument/2006/relationships/styles" Target="styles.xml"/><Relationship Id="rId29" Type="http://schemas.openxmlformats.org/officeDocument/2006/relationships/image" Target="media/image9.wmf"/><Relationship Id="rId250" Type="http://schemas.openxmlformats.org/officeDocument/2006/relationships/image" Target="media/image133.e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oleObject" Target="embeddings/oleObject27.bin"/><Relationship Id="rId87" Type="http://schemas.openxmlformats.org/officeDocument/2006/relationships/image" Target="media/image38.wmf"/><Relationship Id="rId110" Type="http://schemas.openxmlformats.org/officeDocument/2006/relationships/oleObject" Target="embeddings/oleObject49.bin"/><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oleObject" Target="embeddings/oleObject62.bin"/><Relationship Id="rId157" Type="http://schemas.openxmlformats.org/officeDocument/2006/relationships/image" Target="media/image74.wmf"/><Relationship Id="rId178" Type="http://schemas.openxmlformats.org/officeDocument/2006/relationships/oleObject" Target="embeddings/oleObject82.bin"/><Relationship Id="rId61" Type="http://schemas.openxmlformats.org/officeDocument/2006/relationships/image" Target="media/image25.wmf"/><Relationship Id="rId82" Type="http://schemas.openxmlformats.org/officeDocument/2006/relationships/oleObject" Target="embeddings/oleObject35.bin"/><Relationship Id="rId152" Type="http://schemas.openxmlformats.org/officeDocument/2006/relationships/oleObject" Target="embeddings/oleObject69.bin"/><Relationship Id="rId173" Type="http://schemas.openxmlformats.org/officeDocument/2006/relationships/image" Target="media/image82.wmf"/><Relationship Id="rId194" Type="http://schemas.openxmlformats.org/officeDocument/2006/relationships/oleObject" Target="embeddings/oleObject90.bin"/><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oleObject" Target="embeddings/oleObject97.bin"/><Relationship Id="rId229" Type="http://schemas.openxmlformats.org/officeDocument/2006/relationships/image" Target="media/image112.emf"/><Relationship Id="rId19" Type="http://schemas.openxmlformats.org/officeDocument/2006/relationships/image" Target="media/image4.wmf"/><Relationship Id="rId224" Type="http://schemas.openxmlformats.org/officeDocument/2006/relationships/image" Target="media/image109.emf"/><Relationship Id="rId240" Type="http://schemas.openxmlformats.org/officeDocument/2006/relationships/image" Target="media/image123.emf"/><Relationship Id="rId245" Type="http://schemas.openxmlformats.org/officeDocument/2006/relationships/image" Target="media/image128.e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2.wmf"/><Relationship Id="rId56" Type="http://schemas.openxmlformats.org/officeDocument/2006/relationships/oleObject" Target="embeddings/oleObject22.bin"/><Relationship Id="rId77" Type="http://schemas.openxmlformats.org/officeDocument/2006/relationships/image" Target="media/image33.wmf"/><Relationship Id="rId100" Type="http://schemas.openxmlformats.org/officeDocument/2006/relationships/oleObject" Target="embeddings/oleObject44.bin"/><Relationship Id="rId105" Type="http://schemas.openxmlformats.org/officeDocument/2006/relationships/image" Target="media/image47.wmf"/><Relationship Id="rId126" Type="http://schemas.openxmlformats.org/officeDocument/2006/relationships/oleObject" Target="embeddings/oleObject57.bin"/><Relationship Id="rId147" Type="http://schemas.openxmlformats.org/officeDocument/2006/relationships/image" Target="media/image69.wmf"/><Relationship Id="rId168" Type="http://schemas.openxmlformats.org/officeDocument/2006/relationships/oleObject" Target="embeddings/oleObject77.bin"/><Relationship Id="rId8" Type="http://schemas.openxmlformats.org/officeDocument/2006/relationships/hyperlink" Target="mailto:wanglei@ln.sgcc.com.cn" TargetMode="External"/><Relationship Id="rId51" Type="http://schemas.openxmlformats.org/officeDocument/2006/relationships/image" Target="media/image20.wmf"/><Relationship Id="rId72" Type="http://schemas.openxmlformats.org/officeDocument/2006/relationships/oleObject" Target="embeddings/oleObject30.bin"/><Relationship Id="rId93" Type="http://schemas.openxmlformats.org/officeDocument/2006/relationships/image" Target="media/image41.wmf"/><Relationship Id="rId98" Type="http://schemas.openxmlformats.org/officeDocument/2006/relationships/oleObject" Target="embeddings/oleObject43.bin"/><Relationship Id="rId121" Type="http://schemas.openxmlformats.org/officeDocument/2006/relationships/image" Target="media/image55.wmf"/><Relationship Id="rId142" Type="http://schemas.openxmlformats.org/officeDocument/2006/relationships/oleObject" Target="embeddings/oleObject64.bin"/><Relationship Id="rId163" Type="http://schemas.openxmlformats.org/officeDocument/2006/relationships/image" Target="media/image77.wmf"/><Relationship Id="rId184" Type="http://schemas.openxmlformats.org/officeDocument/2006/relationships/oleObject" Target="embeddings/oleObject85.bin"/><Relationship Id="rId189" Type="http://schemas.openxmlformats.org/officeDocument/2006/relationships/image" Target="media/image90.wmf"/><Relationship Id="rId219" Type="http://schemas.openxmlformats.org/officeDocument/2006/relationships/image" Target="media/image105.wmf"/><Relationship Id="rId3" Type="http://schemas.openxmlformats.org/officeDocument/2006/relationships/settings" Target="settings.xml"/><Relationship Id="rId214" Type="http://schemas.openxmlformats.org/officeDocument/2006/relationships/oleObject" Target="embeddings/oleObject100.bin"/><Relationship Id="rId230" Type="http://schemas.openxmlformats.org/officeDocument/2006/relationships/image" Target="media/image113.emf"/><Relationship Id="rId235" Type="http://schemas.openxmlformats.org/officeDocument/2006/relationships/image" Target="media/image118.emf"/><Relationship Id="rId251" Type="http://schemas.openxmlformats.org/officeDocument/2006/relationships/image" Target="media/image134.emf"/><Relationship Id="rId25" Type="http://schemas.openxmlformats.org/officeDocument/2006/relationships/image" Target="media/image7.wmf"/><Relationship Id="rId46" Type="http://schemas.openxmlformats.org/officeDocument/2006/relationships/oleObject" Target="embeddings/oleObject17.bin"/><Relationship Id="rId67" Type="http://schemas.openxmlformats.org/officeDocument/2006/relationships/image" Target="media/image28.wmf"/><Relationship Id="rId116" Type="http://schemas.openxmlformats.org/officeDocument/2006/relationships/oleObject" Target="embeddings/oleObject52.bin"/><Relationship Id="rId137" Type="http://schemas.openxmlformats.org/officeDocument/2006/relationships/image" Target="media/image63.png"/><Relationship Id="rId158" Type="http://schemas.openxmlformats.org/officeDocument/2006/relationships/oleObject" Target="embeddings/oleObject72.bin"/><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oleObject" Target="embeddings/oleObject25.bin"/><Relationship Id="rId83" Type="http://schemas.openxmlformats.org/officeDocument/2006/relationships/image" Target="media/image36.wmf"/><Relationship Id="rId88" Type="http://schemas.openxmlformats.org/officeDocument/2006/relationships/oleObject" Target="embeddings/oleObject38.bin"/><Relationship Id="rId111" Type="http://schemas.openxmlformats.org/officeDocument/2006/relationships/image" Target="media/image50.wmf"/><Relationship Id="rId132" Type="http://schemas.openxmlformats.org/officeDocument/2006/relationships/oleObject" Target="embeddings/oleObject60.bin"/><Relationship Id="rId153" Type="http://schemas.openxmlformats.org/officeDocument/2006/relationships/image" Target="media/image72.wmf"/><Relationship Id="rId174" Type="http://schemas.openxmlformats.org/officeDocument/2006/relationships/oleObject" Target="embeddings/oleObject80.bin"/><Relationship Id="rId179" Type="http://schemas.openxmlformats.org/officeDocument/2006/relationships/image" Target="media/image85.wmf"/><Relationship Id="rId195" Type="http://schemas.openxmlformats.org/officeDocument/2006/relationships/image" Target="media/image93.wmf"/><Relationship Id="rId209" Type="http://schemas.openxmlformats.org/officeDocument/2006/relationships/image" Target="media/image100.wmf"/><Relationship Id="rId190" Type="http://schemas.openxmlformats.org/officeDocument/2006/relationships/oleObject" Target="embeddings/oleObject88.bin"/><Relationship Id="rId204" Type="http://schemas.openxmlformats.org/officeDocument/2006/relationships/oleObject" Target="embeddings/oleObject95.bin"/><Relationship Id="rId220" Type="http://schemas.openxmlformats.org/officeDocument/2006/relationships/oleObject" Target="embeddings/oleObject103.bin"/><Relationship Id="rId225" Type="http://schemas.openxmlformats.org/officeDocument/2006/relationships/image" Target="media/image110.wmf"/><Relationship Id="rId241" Type="http://schemas.openxmlformats.org/officeDocument/2006/relationships/image" Target="media/image124.emf"/><Relationship Id="rId246" Type="http://schemas.openxmlformats.org/officeDocument/2006/relationships/image" Target="media/image129.emf"/><Relationship Id="rId15" Type="http://schemas.openxmlformats.org/officeDocument/2006/relationships/image" Target="media/image2.wmf"/><Relationship Id="rId36" Type="http://schemas.openxmlformats.org/officeDocument/2006/relationships/oleObject" Target="embeddings/oleObject12.bin"/><Relationship Id="rId57" Type="http://schemas.openxmlformats.org/officeDocument/2006/relationships/image" Target="media/image23.wmf"/><Relationship Id="rId106" Type="http://schemas.openxmlformats.org/officeDocument/2006/relationships/oleObject" Target="embeddings/oleObject47.bin"/><Relationship Id="rId127" Type="http://schemas.openxmlformats.org/officeDocument/2006/relationships/image" Target="media/image58.wmf"/><Relationship Id="rId10" Type="http://schemas.openxmlformats.org/officeDocument/2006/relationships/hyperlink" Target="mailto:sk_jyy@ln.sgcc.com.cn" TargetMode="External"/><Relationship Id="rId31" Type="http://schemas.openxmlformats.org/officeDocument/2006/relationships/image" Target="media/image10.wmf"/><Relationship Id="rId52" Type="http://schemas.openxmlformats.org/officeDocument/2006/relationships/oleObject" Target="embeddings/oleObject20.bin"/><Relationship Id="rId73" Type="http://schemas.openxmlformats.org/officeDocument/2006/relationships/image" Target="media/image31.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55.bin"/><Relationship Id="rId143" Type="http://schemas.openxmlformats.org/officeDocument/2006/relationships/image" Target="media/image67.wmf"/><Relationship Id="rId148" Type="http://schemas.openxmlformats.org/officeDocument/2006/relationships/oleObject" Target="embeddings/oleObject67.bin"/><Relationship Id="rId164" Type="http://schemas.openxmlformats.org/officeDocument/2006/relationships/oleObject" Target="embeddings/oleObject75.bin"/><Relationship Id="rId169" Type="http://schemas.openxmlformats.org/officeDocument/2006/relationships/image" Target="media/image80.wmf"/><Relationship Id="rId185"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hyperlink" Target="mailto:zdldlfzyjy@126.com" TargetMode="External"/><Relationship Id="rId180" Type="http://schemas.openxmlformats.org/officeDocument/2006/relationships/oleObject" Target="embeddings/oleObject83.bin"/><Relationship Id="rId210" Type="http://schemas.openxmlformats.org/officeDocument/2006/relationships/oleObject" Target="embeddings/oleObject98.bin"/><Relationship Id="rId215" Type="http://schemas.openxmlformats.org/officeDocument/2006/relationships/image" Target="media/image103.wmf"/><Relationship Id="rId236" Type="http://schemas.openxmlformats.org/officeDocument/2006/relationships/image" Target="media/image119.emf"/><Relationship Id="rId26" Type="http://schemas.openxmlformats.org/officeDocument/2006/relationships/oleObject" Target="embeddings/oleObject7.bin"/><Relationship Id="rId231" Type="http://schemas.openxmlformats.org/officeDocument/2006/relationships/image" Target="media/image114.emf"/><Relationship Id="rId252" Type="http://schemas.openxmlformats.org/officeDocument/2006/relationships/footer" Target="footer1.xml"/><Relationship Id="rId47" Type="http://schemas.openxmlformats.org/officeDocument/2006/relationships/image" Target="media/image18.wmf"/><Relationship Id="rId68" Type="http://schemas.openxmlformats.org/officeDocument/2006/relationships/oleObject" Target="embeddings/oleObject28.bin"/><Relationship Id="rId89" Type="http://schemas.openxmlformats.org/officeDocument/2006/relationships/image" Target="media/image39.wmf"/><Relationship Id="rId112" Type="http://schemas.openxmlformats.org/officeDocument/2006/relationships/oleObject" Target="embeddings/oleObject50.bin"/><Relationship Id="rId133" Type="http://schemas.openxmlformats.org/officeDocument/2006/relationships/image" Target="media/image61.wmf"/><Relationship Id="rId154" Type="http://schemas.openxmlformats.org/officeDocument/2006/relationships/oleObject" Target="embeddings/oleObject70.bin"/><Relationship Id="rId175" Type="http://schemas.openxmlformats.org/officeDocument/2006/relationships/image" Target="media/image83.wmf"/><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oleObject" Target="embeddings/oleObject2.bin"/><Relationship Id="rId221" Type="http://schemas.openxmlformats.org/officeDocument/2006/relationships/image" Target="media/image106.emf"/><Relationship Id="rId242" Type="http://schemas.openxmlformats.org/officeDocument/2006/relationships/image" Target="media/image125.emf"/><Relationship Id="rId37" Type="http://schemas.openxmlformats.org/officeDocument/2006/relationships/image" Target="media/image13.wmf"/><Relationship Id="rId58" Type="http://schemas.openxmlformats.org/officeDocument/2006/relationships/oleObject" Target="embeddings/oleObject23.bin"/><Relationship Id="rId79" Type="http://schemas.openxmlformats.org/officeDocument/2006/relationships/image" Target="media/image34.wmf"/><Relationship Id="rId102" Type="http://schemas.openxmlformats.org/officeDocument/2006/relationships/oleObject" Target="embeddings/oleObject45.bin"/><Relationship Id="rId123" Type="http://schemas.openxmlformats.org/officeDocument/2006/relationships/image" Target="media/image56.wmf"/><Relationship Id="rId144" Type="http://schemas.openxmlformats.org/officeDocument/2006/relationships/oleObject" Target="embeddings/oleObject65.bin"/><Relationship Id="rId90" Type="http://schemas.openxmlformats.org/officeDocument/2006/relationships/oleObject" Target="embeddings/oleObject39.bin"/><Relationship Id="rId165" Type="http://schemas.openxmlformats.org/officeDocument/2006/relationships/image" Target="media/image78.wmf"/><Relationship Id="rId186" Type="http://schemas.openxmlformats.org/officeDocument/2006/relationships/oleObject" Target="embeddings/oleObject86.bin"/><Relationship Id="rId211" Type="http://schemas.openxmlformats.org/officeDocument/2006/relationships/image" Target="media/image101.wmf"/><Relationship Id="rId232" Type="http://schemas.openxmlformats.org/officeDocument/2006/relationships/image" Target="media/image115.emf"/><Relationship Id="rId253" Type="http://schemas.openxmlformats.org/officeDocument/2006/relationships/fontTable" Target="fontTable.xml"/><Relationship Id="rId27" Type="http://schemas.openxmlformats.org/officeDocument/2006/relationships/image" Target="media/image8.wmf"/><Relationship Id="rId48" Type="http://schemas.openxmlformats.org/officeDocument/2006/relationships/oleObject" Target="embeddings/oleObject18.bin"/><Relationship Id="rId69" Type="http://schemas.openxmlformats.org/officeDocument/2006/relationships/image" Target="media/image29.wmf"/><Relationship Id="rId113" Type="http://schemas.openxmlformats.org/officeDocument/2006/relationships/image" Target="media/image51.wmf"/><Relationship Id="rId134" Type="http://schemas.openxmlformats.org/officeDocument/2006/relationships/oleObject" Target="embeddings/oleObject61.bin"/><Relationship Id="rId80" Type="http://schemas.openxmlformats.org/officeDocument/2006/relationships/oleObject" Target="embeddings/oleObject34.bin"/><Relationship Id="rId155" Type="http://schemas.openxmlformats.org/officeDocument/2006/relationships/image" Target="media/image73.wmf"/><Relationship Id="rId176" Type="http://schemas.openxmlformats.org/officeDocument/2006/relationships/oleObject" Target="embeddings/oleObject81.bin"/><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image" Target="media/image107.emf"/><Relationship Id="rId243" Type="http://schemas.openxmlformats.org/officeDocument/2006/relationships/image" Target="media/image126.emf"/><Relationship Id="rId17" Type="http://schemas.openxmlformats.org/officeDocument/2006/relationships/image" Target="media/image3.wmf"/><Relationship Id="rId38" Type="http://schemas.openxmlformats.org/officeDocument/2006/relationships/oleObject" Target="embeddings/oleObject13.bin"/><Relationship Id="rId59" Type="http://schemas.openxmlformats.org/officeDocument/2006/relationships/image" Target="media/image24.wmf"/><Relationship Id="rId103" Type="http://schemas.openxmlformats.org/officeDocument/2006/relationships/image" Target="media/image46.wmf"/><Relationship Id="rId124" Type="http://schemas.openxmlformats.org/officeDocument/2006/relationships/oleObject" Target="embeddings/oleObject5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13151</Words>
  <Characters>74962</Characters>
  <Application>Microsoft Office Word</Application>
  <DocSecurity>0</DocSecurity>
  <Lines>624</Lines>
  <Paragraphs>175</Paragraphs>
  <ScaleCrop>false</ScaleCrop>
  <Company/>
  <LinksUpToDate>false</LinksUpToDate>
  <CharactersWithSpaces>87938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HD8177</cp:lastModifiedBy>
  <cp:revision>32</cp:revision>
  <dcterms:created xsi:type="dcterms:W3CDTF">2025-07-21T05:38:00Z</dcterms:created>
  <dcterms:modified xsi:type="dcterms:W3CDTF">2025-09-29T09:07:00Z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ies>
</file>